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sz w:val="36"/>
          <w:lang w:eastAsia="zh-CN"/>
        </w:rPr>
        <w:t>双桥区</w:t>
      </w:r>
      <w:r>
        <w:rPr>
          <w:rFonts w:hint="eastAsia" w:ascii="方正小标宋简体" w:hAnsi="方正小标宋简体" w:eastAsia="方正小标宋简体"/>
          <w:sz w:val="36"/>
        </w:rPr>
        <w:t>政府部门权责清单汇总表</w:t>
      </w:r>
    </w:p>
    <w:p>
      <w:pPr>
        <w:spacing w:line="600" w:lineRule="exact"/>
        <w:rPr>
          <w:rFonts w:ascii="仿宋_GB2312"/>
        </w:rPr>
      </w:pPr>
      <w:r>
        <w:rPr>
          <w:rFonts w:hint="eastAsia" w:ascii="楷体_GB2312" w:hAnsi="楷体_GB2312" w:eastAsia="楷体_GB2312"/>
          <w:sz w:val="28"/>
        </w:rPr>
        <w:t>单位：</w:t>
      </w:r>
      <w:r>
        <w:rPr>
          <w:rFonts w:hint="eastAsia" w:ascii="楷体_GB2312" w:hAnsi="楷体_GB2312" w:eastAsia="楷体_GB2312" w:cs="Arial"/>
          <w:sz w:val="28"/>
        </w:rPr>
        <w:t>承德市</w:t>
      </w:r>
      <w:r>
        <w:rPr>
          <w:rFonts w:hint="eastAsia" w:ascii="楷体_GB2312" w:hAnsi="楷体_GB2312" w:eastAsia="楷体_GB2312" w:cs="Arial"/>
          <w:sz w:val="28"/>
          <w:lang w:eastAsia="zh-CN"/>
        </w:rPr>
        <w:t>双桥区</w:t>
      </w:r>
      <w:r>
        <w:rPr>
          <w:rFonts w:hint="eastAsia" w:ascii="楷体_GB2312" w:hAnsi="楷体_GB2312" w:eastAsia="楷体_GB2312" w:cs="Arial"/>
          <w:sz w:val="28"/>
        </w:rPr>
        <w:t>统计局</w:t>
      </w:r>
    </w:p>
    <w:tbl>
      <w:tblPr>
        <w:tblStyle w:val="6"/>
        <w:tblW w:w="15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667"/>
        <w:gridCol w:w="1250"/>
        <w:gridCol w:w="391"/>
        <w:gridCol w:w="3118"/>
        <w:gridCol w:w="1843"/>
        <w:gridCol w:w="2410"/>
        <w:gridCol w:w="1984"/>
        <w:gridCol w:w="311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52" w:type="dxa"/>
            <w:vAlign w:val="center"/>
          </w:tcPr>
          <w:p>
            <w:pPr>
              <w:spacing w:line="0" w:lineRule="atLeast"/>
              <w:jc w:val="center"/>
              <w:rPr>
                <w:rFonts w:asciiTheme="minorEastAsia" w:hAnsiTheme="minorEastAsia" w:eastAsiaTheme="minorEastAsia"/>
                <w:sz w:val="20"/>
              </w:rPr>
            </w:pPr>
            <w:r>
              <w:rPr>
                <w:rFonts w:hint="eastAsia" w:asciiTheme="minorEastAsia" w:hAnsiTheme="minorEastAsia" w:eastAsiaTheme="minorEastAsia"/>
                <w:sz w:val="20"/>
              </w:rPr>
              <w:t>序号</w:t>
            </w:r>
          </w:p>
        </w:tc>
        <w:tc>
          <w:tcPr>
            <w:tcW w:w="667" w:type="dxa"/>
            <w:vAlign w:val="center"/>
          </w:tcPr>
          <w:p>
            <w:pPr>
              <w:spacing w:line="0" w:lineRule="atLeast"/>
              <w:jc w:val="center"/>
              <w:rPr>
                <w:rFonts w:asciiTheme="minorEastAsia" w:hAnsiTheme="minorEastAsia" w:eastAsiaTheme="minorEastAsia"/>
                <w:sz w:val="20"/>
              </w:rPr>
            </w:pPr>
            <w:r>
              <w:rPr>
                <w:rFonts w:hint="eastAsia" w:asciiTheme="minorEastAsia" w:hAnsiTheme="minorEastAsia" w:eastAsiaTheme="minorEastAsia"/>
                <w:sz w:val="20"/>
              </w:rPr>
              <w:t>权力类型</w:t>
            </w:r>
          </w:p>
        </w:tc>
        <w:tc>
          <w:tcPr>
            <w:tcW w:w="1250" w:type="dxa"/>
            <w:vAlign w:val="center"/>
          </w:tcPr>
          <w:p>
            <w:pPr>
              <w:spacing w:line="0" w:lineRule="atLeast"/>
              <w:jc w:val="center"/>
              <w:rPr>
                <w:rFonts w:asciiTheme="minorEastAsia" w:hAnsiTheme="minorEastAsia" w:eastAsiaTheme="minorEastAsia"/>
                <w:sz w:val="20"/>
              </w:rPr>
            </w:pPr>
            <w:r>
              <w:rPr>
                <w:rFonts w:hint="eastAsia" w:asciiTheme="minorEastAsia" w:hAnsiTheme="minorEastAsia" w:eastAsiaTheme="minorEastAsia"/>
                <w:sz w:val="20"/>
              </w:rPr>
              <w:t>权力事项</w:t>
            </w:r>
          </w:p>
        </w:tc>
        <w:tc>
          <w:tcPr>
            <w:tcW w:w="391" w:type="dxa"/>
            <w:vAlign w:val="center"/>
          </w:tcPr>
          <w:p>
            <w:pPr>
              <w:spacing w:line="0" w:lineRule="atLeast"/>
              <w:jc w:val="center"/>
              <w:rPr>
                <w:rFonts w:asciiTheme="minorEastAsia" w:hAnsiTheme="minorEastAsia" w:eastAsiaTheme="minorEastAsia"/>
                <w:sz w:val="20"/>
              </w:rPr>
            </w:pPr>
            <w:r>
              <w:rPr>
                <w:rFonts w:hint="eastAsia" w:asciiTheme="minorEastAsia" w:hAnsiTheme="minorEastAsia" w:eastAsiaTheme="minorEastAsia"/>
                <w:sz w:val="20"/>
              </w:rPr>
              <w:t>行政主体</w:t>
            </w:r>
          </w:p>
        </w:tc>
        <w:tc>
          <w:tcPr>
            <w:tcW w:w="3118" w:type="dxa"/>
            <w:vAlign w:val="center"/>
          </w:tcPr>
          <w:p>
            <w:pPr>
              <w:spacing w:line="0" w:lineRule="atLeast"/>
              <w:jc w:val="center"/>
              <w:rPr>
                <w:rFonts w:asciiTheme="minorEastAsia" w:hAnsiTheme="minorEastAsia" w:eastAsiaTheme="minorEastAsia"/>
                <w:sz w:val="20"/>
              </w:rPr>
            </w:pPr>
            <w:r>
              <w:rPr>
                <w:rFonts w:hint="eastAsia" w:asciiTheme="minorEastAsia" w:hAnsiTheme="minorEastAsia" w:eastAsiaTheme="minorEastAsia"/>
                <w:sz w:val="20"/>
              </w:rPr>
              <w:t>实施依据</w:t>
            </w:r>
          </w:p>
        </w:tc>
        <w:tc>
          <w:tcPr>
            <w:tcW w:w="1843" w:type="dxa"/>
            <w:vAlign w:val="center"/>
          </w:tcPr>
          <w:p>
            <w:pPr>
              <w:spacing w:line="0" w:lineRule="atLeast"/>
              <w:jc w:val="center"/>
              <w:rPr>
                <w:rFonts w:asciiTheme="minorEastAsia" w:hAnsiTheme="minorEastAsia" w:eastAsiaTheme="minorEastAsia"/>
                <w:sz w:val="20"/>
              </w:rPr>
            </w:pPr>
            <w:r>
              <w:rPr>
                <w:rFonts w:hint="eastAsia" w:asciiTheme="minorEastAsia" w:hAnsiTheme="minorEastAsia" w:eastAsiaTheme="minorEastAsia"/>
                <w:sz w:val="20"/>
              </w:rPr>
              <w:t>责任事项</w:t>
            </w:r>
          </w:p>
        </w:tc>
        <w:tc>
          <w:tcPr>
            <w:tcW w:w="2410" w:type="dxa"/>
            <w:vAlign w:val="center"/>
          </w:tcPr>
          <w:p>
            <w:pPr>
              <w:spacing w:line="0" w:lineRule="atLeast"/>
              <w:jc w:val="center"/>
              <w:rPr>
                <w:rFonts w:asciiTheme="minorEastAsia" w:hAnsiTheme="minorEastAsia" w:eastAsiaTheme="minorEastAsia"/>
                <w:sz w:val="20"/>
              </w:rPr>
            </w:pPr>
            <w:r>
              <w:rPr>
                <w:rFonts w:hint="eastAsia" w:asciiTheme="minorEastAsia" w:hAnsiTheme="minorEastAsia" w:eastAsiaTheme="minorEastAsia"/>
                <w:sz w:val="20"/>
              </w:rPr>
              <w:t>责任事项依据</w:t>
            </w:r>
          </w:p>
        </w:tc>
        <w:tc>
          <w:tcPr>
            <w:tcW w:w="1984" w:type="dxa"/>
            <w:vAlign w:val="center"/>
          </w:tcPr>
          <w:p>
            <w:pPr>
              <w:spacing w:line="0" w:lineRule="atLeast"/>
              <w:jc w:val="center"/>
              <w:rPr>
                <w:rFonts w:asciiTheme="minorEastAsia" w:hAnsiTheme="minorEastAsia" w:eastAsiaTheme="minorEastAsia"/>
                <w:sz w:val="20"/>
              </w:rPr>
            </w:pPr>
            <w:r>
              <w:rPr>
                <w:rFonts w:hint="eastAsia" w:asciiTheme="minorEastAsia" w:hAnsiTheme="minorEastAsia" w:eastAsiaTheme="minorEastAsia"/>
                <w:sz w:val="20"/>
              </w:rPr>
              <w:t>追责情形</w:t>
            </w:r>
          </w:p>
        </w:tc>
        <w:tc>
          <w:tcPr>
            <w:tcW w:w="3119" w:type="dxa"/>
            <w:vAlign w:val="center"/>
          </w:tcPr>
          <w:p>
            <w:pPr>
              <w:spacing w:line="0" w:lineRule="atLeast"/>
              <w:jc w:val="center"/>
              <w:rPr>
                <w:rFonts w:asciiTheme="minorEastAsia" w:hAnsiTheme="minorEastAsia" w:eastAsiaTheme="minorEastAsia"/>
                <w:sz w:val="20"/>
              </w:rPr>
            </w:pPr>
            <w:r>
              <w:rPr>
                <w:rFonts w:hint="eastAsia" w:asciiTheme="minorEastAsia" w:hAnsiTheme="minorEastAsia" w:eastAsiaTheme="minorEastAsia"/>
                <w:sz w:val="20"/>
              </w:rPr>
              <w:t>追责情形依据</w:t>
            </w:r>
          </w:p>
        </w:tc>
        <w:tc>
          <w:tcPr>
            <w:tcW w:w="680" w:type="dxa"/>
            <w:vAlign w:val="center"/>
          </w:tcPr>
          <w:p>
            <w:pPr>
              <w:spacing w:line="0" w:lineRule="atLeast"/>
              <w:jc w:val="center"/>
              <w:rPr>
                <w:rFonts w:asciiTheme="minorEastAsia" w:hAnsiTheme="minorEastAsia" w:eastAsiaTheme="minorEastAsia"/>
                <w:sz w:val="20"/>
              </w:rPr>
            </w:pPr>
            <w:r>
              <w:rPr>
                <w:rFonts w:hint="eastAsia" w:asciiTheme="minorEastAsia" w:hAnsiTheme="minorEastAsia" w:eastAsiaTheme="minorEastAsia"/>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 w:type="dxa"/>
            <w:vAlign w:val="center"/>
          </w:tcPr>
          <w:p>
            <w:pPr>
              <w:tabs>
                <w:tab w:val="left" w:pos="7937"/>
              </w:tabs>
              <w:spacing w:line="0" w:lineRule="atLeast"/>
              <w:jc w:val="center"/>
              <w:rPr>
                <w:rFonts w:cs="仿宋" w:asciiTheme="minorEastAsia" w:hAnsiTheme="minorEastAsia" w:eastAsiaTheme="minorEastAsia"/>
                <w:sz w:val="16"/>
                <w:szCs w:val="24"/>
              </w:rPr>
            </w:pPr>
            <w:r>
              <w:rPr>
                <w:rFonts w:hint="eastAsia" w:cs="仿宋" w:asciiTheme="minorEastAsia" w:hAnsiTheme="minorEastAsia" w:eastAsiaTheme="minorEastAsia"/>
                <w:sz w:val="16"/>
                <w:szCs w:val="24"/>
              </w:rPr>
              <w:t>1</w:t>
            </w:r>
          </w:p>
        </w:tc>
        <w:tc>
          <w:tcPr>
            <w:tcW w:w="667" w:type="dxa"/>
            <w:vAlign w:val="center"/>
          </w:tcPr>
          <w:p>
            <w:pPr>
              <w:tabs>
                <w:tab w:val="left" w:pos="7937"/>
              </w:tabs>
              <w:spacing w:line="0" w:lineRule="atLeast"/>
              <w:jc w:val="center"/>
              <w:rPr>
                <w:rFonts w:asciiTheme="minorEastAsia" w:hAnsiTheme="minorEastAsia" w:eastAsiaTheme="minorEastAsia"/>
                <w:sz w:val="16"/>
              </w:rPr>
            </w:pPr>
            <w:r>
              <w:rPr>
                <w:rFonts w:hint="eastAsia" w:asciiTheme="minorEastAsia" w:hAnsiTheme="minorEastAsia" w:eastAsiaTheme="minorEastAsia"/>
                <w:sz w:val="16"/>
              </w:rPr>
              <w:t>行政</w:t>
            </w:r>
          </w:p>
          <w:p>
            <w:pPr>
              <w:tabs>
                <w:tab w:val="left" w:pos="7937"/>
              </w:tabs>
              <w:spacing w:line="0" w:lineRule="atLeast"/>
              <w:jc w:val="center"/>
              <w:rPr>
                <w:rFonts w:asciiTheme="minorEastAsia" w:hAnsiTheme="minorEastAsia" w:eastAsiaTheme="minorEastAsia"/>
                <w:sz w:val="16"/>
              </w:rPr>
            </w:pPr>
            <w:r>
              <w:rPr>
                <w:rFonts w:hint="eastAsia" w:asciiTheme="minorEastAsia" w:hAnsiTheme="minorEastAsia" w:eastAsiaTheme="minorEastAsia"/>
                <w:sz w:val="16"/>
              </w:rPr>
              <w:t>处罚</w:t>
            </w:r>
          </w:p>
        </w:tc>
        <w:tc>
          <w:tcPr>
            <w:tcW w:w="1250" w:type="dxa"/>
            <w:vAlign w:val="center"/>
          </w:tcPr>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对作为统计调查对象的国家机关、企业事业单位或者其他组织有下列行为之一的：（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六）国家机关、企业事业单位或者其他组织迟报统计资料，或者未按照国家有关规定设置原始记录、统计台账的违法行为的处罚。</w:t>
            </w:r>
          </w:p>
        </w:tc>
        <w:tc>
          <w:tcPr>
            <w:tcW w:w="391" w:type="dxa"/>
            <w:vAlign w:val="center"/>
          </w:tcPr>
          <w:p>
            <w:pPr>
              <w:tabs>
                <w:tab w:val="left" w:pos="7937"/>
              </w:tabs>
              <w:spacing w:line="0" w:lineRule="atLeast"/>
              <w:jc w:val="center"/>
              <w:rPr>
                <w:rFonts w:hint="eastAsia" w:asciiTheme="minorEastAsia" w:hAnsiTheme="minorEastAsia" w:eastAsiaTheme="minorEastAsia"/>
                <w:sz w:val="16"/>
                <w:lang w:eastAsia="zh-CN"/>
              </w:rPr>
            </w:pPr>
            <w:r>
              <w:rPr>
                <w:rFonts w:hint="eastAsia" w:asciiTheme="minorEastAsia" w:hAnsiTheme="minorEastAsia" w:eastAsiaTheme="minorEastAsia"/>
                <w:sz w:val="16"/>
                <w:lang w:eastAsia="zh-CN"/>
              </w:rPr>
              <w:t>双桥区统计局</w:t>
            </w:r>
          </w:p>
        </w:tc>
        <w:tc>
          <w:tcPr>
            <w:tcW w:w="3118" w:type="dxa"/>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Theme="minorEastAsia" w:hAnsiTheme="minorEastAsia" w:eastAsiaTheme="minorEastAsia"/>
                <w:color w:val="000000"/>
                <w:sz w:val="16"/>
                <w:szCs w:val="22"/>
              </w:rPr>
              <w:br w:type="page"/>
            </w:r>
          </w:p>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第四十二条　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tc>
        <w:tc>
          <w:tcPr>
            <w:tcW w:w="1843" w:type="dxa"/>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1.调查取证：执法检查人员不得少于2人，重大案件应组成执法检查组，合法、客观、全面地收集证据。</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2.作出决定：对案件进行讨论审理，确定统计违法行为性质和处理决定，在审理过程中发现统计违法事实不清、证据不足或者程序错误的，应当及时补充或者重新调查。</w:t>
            </w:r>
          </w:p>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hint="eastAsia" w:asciiTheme="minorEastAsia" w:hAnsiTheme="minorEastAsia" w:eastAsiaTheme="minorEastAsia"/>
                <w:color w:val="000000"/>
                <w:sz w:val="16"/>
                <w:szCs w:val="22"/>
              </w:rPr>
              <w:br w:type="page"/>
            </w:r>
          </w:p>
        </w:tc>
        <w:tc>
          <w:tcPr>
            <w:tcW w:w="2410" w:type="dxa"/>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 xml:space="preserve">1.《统计执法监督检查办法》（中华人民共和国国家统计局令第28号）第二十九条“立案查处的案件，一般案件执法检查人员不得少于2人，重大案件应当按规定组成执法检查组。” </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4.统计执法监督检查办法（中华人民共和国国家统计局令第28号）　第三十七条：“县级以上人民政府统计机构应当在《统计行政处罚决定书》作出后7日内送达处罚对象……”</w:t>
            </w:r>
          </w:p>
          <w:p>
            <w:pPr>
              <w:tabs>
                <w:tab w:val="left" w:pos="7937"/>
              </w:tabs>
              <w:spacing w:line="0" w:lineRule="atLeast"/>
              <w:rPr>
                <w:rFonts w:asciiTheme="minorEastAsia" w:hAnsiTheme="minorEastAsia" w:eastAsiaTheme="minorEastAsia"/>
                <w:sz w:val="16"/>
              </w:rPr>
            </w:pPr>
          </w:p>
        </w:tc>
        <w:tc>
          <w:tcPr>
            <w:tcW w:w="1984" w:type="dxa"/>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1.没有法定的处罚依据的；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2.擅自改变处罚种类、幅度的；</w:t>
            </w: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3.违反法定的处罚程序的；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4.违反规定委托处罚的；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5.泄露在检查过程中知悉的国家秘密、商业秘密、个人信息资料和能够识别或者推断单个调查对象身份的资料；</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6.违法实行检查措施或者执行措施，给公民人身或者财产造成损害、给法人或者其他组织造成损失的；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7.滥用职权、徇私舞弊的；</w:t>
            </w:r>
          </w:p>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8.其他违反法律法规规章文件规定的行为。</w:t>
            </w:r>
          </w:p>
        </w:tc>
        <w:tc>
          <w:tcPr>
            <w:tcW w:w="3119" w:type="dxa"/>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4.同1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(四)未按法定权限、程序和要求开展统计执法监督检查，造成不良后果；(五)违反保密规定，泄露举报人或者案情；(六)滥用职权，徇私舞弊；(七)其他违纪违法行为。”</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8.同上</w:t>
            </w:r>
          </w:p>
        </w:tc>
        <w:tc>
          <w:tcPr>
            <w:tcW w:w="680" w:type="dxa"/>
            <w:vAlign w:val="center"/>
          </w:tcPr>
          <w:p>
            <w:pPr>
              <w:spacing w:line="0" w:lineRule="atLeast"/>
              <w:jc w:val="center"/>
              <w:rPr>
                <w:rFonts w:asciiTheme="minorEastAsia" w:hAnsiTheme="minorEastAsia" w:eastAsiaTheme="minorEastAsia"/>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8" w:hRule="atLeast"/>
        </w:trPr>
        <w:tc>
          <w:tcPr>
            <w:tcW w:w="352" w:type="dxa"/>
            <w:vAlign w:val="center"/>
          </w:tcPr>
          <w:p>
            <w:pPr>
              <w:tabs>
                <w:tab w:val="left" w:pos="7937"/>
              </w:tabs>
              <w:spacing w:line="0" w:lineRule="atLeast"/>
              <w:jc w:val="center"/>
              <w:rPr>
                <w:rFonts w:cs="仿宋" w:asciiTheme="minorEastAsia" w:hAnsiTheme="minorEastAsia" w:eastAsiaTheme="minorEastAsia"/>
                <w:sz w:val="16"/>
                <w:szCs w:val="24"/>
              </w:rPr>
            </w:pPr>
            <w:r>
              <w:rPr>
                <w:rFonts w:hint="eastAsia" w:cs="仿宋" w:asciiTheme="minorEastAsia" w:hAnsiTheme="minorEastAsia" w:eastAsiaTheme="minorEastAsia"/>
                <w:sz w:val="16"/>
                <w:szCs w:val="24"/>
              </w:rPr>
              <w:t>2</w:t>
            </w:r>
          </w:p>
        </w:tc>
        <w:tc>
          <w:tcPr>
            <w:tcW w:w="667" w:type="dxa"/>
            <w:vAlign w:val="center"/>
          </w:tcPr>
          <w:p>
            <w:pPr>
              <w:tabs>
                <w:tab w:val="left" w:pos="7937"/>
              </w:tabs>
              <w:spacing w:line="0" w:lineRule="atLeast"/>
              <w:jc w:val="center"/>
              <w:rPr>
                <w:rFonts w:asciiTheme="minorEastAsia" w:hAnsiTheme="minorEastAsia" w:eastAsiaTheme="minorEastAsia"/>
                <w:sz w:val="16"/>
              </w:rPr>
            </w:pPr>
            <w:r>
              <w:rPr>
                <w:rFonts w:hint="eastAsia" w:asciiTheme="minorEastAsia" w:hAnsiTheme="minorEastAsia" w:eastAsiaTheme="minorEastAsia"/>
                <w:sz w:val="16"/>
              </w:rPr>
              <w:t>行政</w:t>
            </w:r>
          </w:p>
          <w:p>
            <w:pPr>
              <w:tabs>
                <w:tab w:val="left" w:pos="7937"/>
              </w:tabs>
              <w:spacing w:line="0" w:lineRule="atLeast"/>
              <w:jc w:val="center"/>
              <w:rPr>
                <w:rFonts w:asciiTheme="minorEastAsia" w:hAnsiTheme="minorEastAsia" w:eastAsiaTheme="minorEastAsia"/>
                <w:sz w:val="16"/>
              </w:rPr>
            </w:pPr>
            <w:r>
              <w:rPr>
                <w:rFonts w:hint="eastAsia" w:asciiTheme="minorEastAsia" w:hAnsiTheme="minorEastAsia" w:eastAsiaTheme="minorEastAsia"/>
                <w:sz w:val="16"/>
              </w:rPr>
              <w:t>处罚</w:t>
            </w:r>
          </w:p>
        </w:tc>
        <w:tc>
          <w:tcPr>
            <w:tcW w:w="1250" w:type="dxa"/>
            <w:vAlign w:val="center"/>
          </w:tcPr>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对违反全国经济普查规定的处罚</w:t>
            </w:r>
          </w:p>
        </w:tc>
        <w:tc>
          <w:tcPr>
            <w:tcW w:w="391" w:type="dxa"/>
            <w:vAlign w:val="center"/>
          </w:tcPr>
          <w:p>
            <w:pPr>
              <w:tabs>
                <w:tab w:val="left" w:pos="7937"/>
              </w:tabs>
              <w:spacing w:line="0" w:lineRule="atLeast"/>
              <w:jc w:val="center"/>
              <w:rPr>
                <w:rFonts w:hint="eastAsia" w:asciiTheme="minorEastAsia" w:hAnsiTheme="minorEastAsia" w:eastAsiaTheme="minorEastAsia"/>
                <w:sz w:val="16"/>
                <w:lang w:eastAsia="zh-CN"/>
              </w:rPr>
            </w:pPr>
            <w:r>
              <w:rPr>
                <w:rFonts w:hint="eastAsia" w:asciiTheme="minorEastAsia" w:hAnsiTheme="minorEastAsia" w:eastAsiaTheme="minorEastAsia"/>
                <w:sz w:val="16"/>
                <w:lang w:eastAsia="zh-CN"/>
              </w:rPr>
              <w:t>双桥区统计局</w:t>
            </w:r>
          </w:p>
        </w:tc>
        <w:tc>
          <w:tcPr>
            <w:tcW w:w="3118" w:type="dxa"/>
            <w:vAlign w:val="center"/>
          </w:tcPr>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 xml:space="preserve">《全国经济普查条例》（2004年9月5日国务院令第415号公布 根据2018年8月11日《国务院关于修改〈全国经济普查条例〉的决定》修订）第三十六条第三十六条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（一）拒绝或者妨碍接受经济普查机构、经济普查人员依法进行的调查的；</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xml:space="preserve">（二）提供虚假或者不完整的经济普查资料的； </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xml:space="preserve">（三）未按时提供与经济普查有关的资料，经催报后仍未提供的。 </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企业事业单位或者其他组织有前款所列行为之一的，可以并处5万元以下的罚款；情节严重的，并处5万元以上20万元以下的罚款。</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xml:space="preserve">　个体经营户有本条第一款所列行为之一的，由县级以上人民政府统计机构责令改正，给予警告，可以并处1万元以下的罚款。 </w:t>
            </w:r>
          </w:p>
        </w:tc>
        <w:tc>
          <w:tcPr>
            <w:tcW w:w="1843" w:type="dxa"/>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1.调查取证：执法检查人员不得少于2人，重大案件应组成执法检查组，合法、客观、全面地收集证据。</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2.作出决定：对案件进行讨论审理，确定统计违法行为性质和处理决定，在审理过程中发现统计违法事实不清、证据不足或者程序错误的，应当及时补充或者重新调查。</w:t>
            </w:r>
          </w:p>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hint="eastAsia" w:asciiTheme="minorEastAsia" w:hAnsiTheme="minorEastAsia" w:eastAsiaTheme="minorEastAsia"/>
                <w:color w:val="000000"/>
                <w:sz w:val="16"/>
                <w:szCs w:val="22"/>
              </w:rPr>
              <w:br w:type="page"/>
            </w:r>
          </w:p>
        </w:tc>
        <w:tc>
          <w:tcPr>
            <w:tcW w:w="2410" w:type="dxa"/>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 xml:space="preserve">1.《统计执法监督检查办法》（中华人民共和国国家统计局令第28号）第二十九条“立案查处的案件，一般案件执法检查人员不得少于2人，重大案件应当按规定组成执法检查组。” </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4.统计执法监督检查办法（中华人民共和国国家统计局令第28号）　第三十七条：“县级以上人民政府统计机构应当在《统计行政处罚决定书》作出后7日内送达处罚对象……”</w:t>
            </w:r>
          </w:p>
          <w:p>
            <w:pPr>
              <w:tabs>
                <w:tab w:val="left" w:pos="7937"/>
              </w:tabs>
              <w:spacing w:line="0" w:lineRule="atLeast"/>
              <w:rPr>
                <w:rFonts w:asciiTheme="minorEastAsia" w:hAnsiTheme="minorEastAsia" w:eastAsiaTheme="minorEastAsia"/>
                <w:sz w:val="16"/>
              </w:rPr>
            </w:pPr>
          </w:p>
        </w:tc>
        <w:tc>
          <w:tcPr>
            <w:tcW w:w="1984" w:type="dxa"/>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1.没有法定的处罚依据的；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2.擅自改变处罚种类、幅度的；</w:t>
            </w: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3.违反法定的处罚程序的；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4.违反规定委托处罚的；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5.泄露在检查过程中知悉的国家秘密、商业秘密、个人信息资料和能够识别或者推断单个调查对象身份的资料；</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6.违法实行检查措施或者执行措施，给公民人身或者财产造成损害、给法人或者其他组织造成损失的；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7.滥用职权、徇私舞弊的；</w:t>
            </w:r>
          </w:p>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8.其他违反法律法规规章文件规定的行为。</w:t>
            </w:r>
          </w:p>
        </w:tc>
        <w:tc>
          <w:tcPr>
            <w:tcW w:w="3119" w:type="dxa"/>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4.同1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(四)未按法定权限、程序和要求开展统计执法监督检查，造成不良后果；(五)违反保密规定，泄露举报人或者案情；(六)滥用职权，徇私舞弊；(七)其他违纪违法行为。”</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8.同上</w:t>
            </w:r>
          </w:p>
        </w:tc>
        <w:tc>
          <w:tcPr>
            <w:tcW w:w="680" w:type="dxa"/>
            <w:vAlign w:val="center"/>
          </w:tcPr>
          <w:p>
            <w:pPr>
              <w:spacing w:line="0" w:lineRule="atLeast"/>
              <w:jc w:val="center"/>
              <w:rPr>
                <w:rFonts w:asciiTheme="minorEastAsia" w:hAnsiTheme="minorEastAsia" w:eastAsiaTheme="minorEastAsia"/>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4" w:hRule="atLeast"/>
        </w:trPr>
        <w:tc>
          <w:tcPr>
            <w:tcW w:w="352" w:type="dxa"/>
            <w:vAlign w:val="center"/>
          </w:tcPr>
          <w:p>
            <w:pPr>
              <w:tabs>
                <w:tab w:val="left" w:pos="7937"/>
              </w:tabs>
              <w:spacing w:line="0" w:lineRule="atLeast"/>
              <w:jc w:val="center"/>
              <w:rPr>
                <w:rFonts w:cs="仿宋" w:asciiTheme="minorEastAsia" w:hAnsiTheme="minorEastAsia" w:eastAsiaTheme="minorEastAsia"/>
                <w:sz w:val="16"/>
                <w:szCs w:val="24"/>
              </w:rPr>
            </w:pPr>
            <w:r>
              <w:rPr>
                <w:rFonts w:hint="eastAsia" w:cs="仿宋" w:asciiTheme="minorEastAsia" w:hAnsiTheme="minorEastAsia" w:eastAsiaTheme="minorEastAsia"/>
                <w:sz w:val="16"/>
                <w:szCs w:val="24"/>
              </w:rPr>
              <w:t>3</w:t>
            </w:r>
          </w:p>
        </w:tc>
        <w:tc>
          <w:tcPr>
            <w:tcW w:w="667" w:type="dxa"/>
            <w:vAlign w:val="center"/>
          </w:tcPr>
          <w:p>
            <w:pPr>
              <w:tabs>
                <w:tab w:val="left" w:pos="7937"/>
              </w:tabs>
              <w:spacing w:line="0" w:lineRule="atLeast"/>
              <w:jc w:val="center"/>
              <w:rPr>
                <w:rFonts w:asciiTheme="minorEastAsia" w:hAnsiTheme="minorEastAsia" w:eastAsiaTheme="minorEastAsia"/>
                <w:sz w:val="16"/>
              </w:rPr>
            </w:pPr>
            <w:r>
              <w:rPr>
                <w:rFonts w:hint="eastAsia" w:asciiTheme="minorEastAsia" w:hAnsiTheme="minorEastAsia" w:eastAsiaTheme="minorEastAsia"/>
                <w:sz w:val="16"/>
              </w:rPr>
              <w:t>行政处罚</w:t>
            </w:r>
          </w:p>
        </w:tc>
        <w:tc>
          <w:tcPr>
            <w:tcW w:w="1250" w:type="dxa"/>
            <w:vAlign w:val="center"/>
          </w:tcPr>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对违反全国农业普查规定的处罚</w:t>
            </w:r>
          </w:p>
        </w:tc>
        <w:tc>
          <w:tcPr>
            <w:tcW w:w="391" w:type="dxa"/>
            <w:vAlign w:val="center"/>
          </w:tcPr>
          <w:p>
            <w:pPr>
              <w:tabs>
                <w:tab w:val="left" w:pos="7937"/>
              </w:tabs>
              <w:spacing w:line="0" w:lineRule="atLeast"/>
              <w:jc w:val="center"/>
              <w:rPr>
                <w:rFonts w:hint="eastAsia" w:asciiTheme="minorEastAsia" w:hAnsiTheme="minorEastAsia" w:eastAsiaTheme="minorEastAsia"/>
                <w:sz w:val="16"/>
                <w:lang w:eastAsia="zh-CN"/>
              </w:rPr>
            </w:pPr>
            <w:r>
              <w:rPr>
                <w:rFonts w:hint="eastAsia" w:asciiTheme="minorEastAsia" w:hAnsiTheme="minorEastAsia" w:eastAsiaTheme="minorEastAsia"/>
                <w:sz w:val="16"/>
                <w:lang w:eastAsia="zh-CN"/>
              </w:rPr>
              <w:t>双桥区统计局</w:t>
            </w:r>
          </w:p>
        </w:tc>
        <w:tc>
          <w:tcPr>
            <w:tcW w:w="3118" w:type="dxa"/>
            <w:vAlign w:val="center"/>
          </w:tcPr>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 xml:space="preserve">《全国农业普查条例》（2006年8月23日国务院第473号令）第三十九条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 </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xml:space="preserve">　　（一）拒绝或者妨碍普查办公室、普查人员依法进行调查的； </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xml:space="preserve">　　（二）提供虚假或者不完整的农业普查资料的； </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xml:space="preserve">　　（三）未按时提供与农业普查有关的资料，经催报后仍未提供的； </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xml:space="preserve">（四）拒绝、推诿和阻挠依法进行的农业普查执法检查的； </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xml:space="preserve">（五）在接受农业普查执法检查时，转移、隐匿、篡改、毁弃原始记录、统计台账、普查表、会计资料及其他相关资料的。 </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农业生产经营单位有前款所列违法行为之一的，由县级以上人民政府统计机构或者国家统计局派出的调查队予以警告，并可以处５万元以下罚款；农业生产经营户有前款所列违法行为之一的，由县级以上人民政府统计机构或者国家统计局派出的调查队予以警告，并可以处１万元以下罚款。</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农业普查对象有本条第一款第（一）、（四）项所列违法行为之一的，由公安机关依法给予治安管理处罚。</w:t>
            </w:r>
          </w:p>
        </w:tc>
        <w:tc>
          <w:tcPr>
            <w:tcW w:w="1843" w:type="dxa"/>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1.调查取证：执法检查人员不得少于2人，重大案件应组成执法检查组，合法、客观、全面地收集证据。</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2.作出决定：对案件进行讨论审理，确定统计违法行为性质和处理决定，在审理过程中发现统计违法事实不清、证据不足或者程序错误的，应当及时补充或者重新调查。</w:t>
            </w:r>
          </w:p>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hint="eastAsia" w:asciiTheme="minorEastAsia" w:hAnsiTheme="minorEastAsia" w:eastAsiaTheme="minorEastAsia"/>
                <w:color w:val="000000"/>
                <w:sz w:val="16"/>
                <w:szCs w:val="22"/>
              </w:rPr>
              <w:br w:type="page"/>
            </w:r>
          </w:p>
        </w:tc>
        <w:tc>
          <w:tcPr>
            <w:tcW w:w="2410" w:type="dxa"/>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 xml:space="preserve">1.《统计执法监督检查办法》（中华人民共和国国家统计局令第28号）第二十九条“立案查处的案件，一般案件执法检查人员不得少于2人，重大案件应当按规定组成执法检查组。” </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4.统计执法监督检查办法（中华人民共和国国家统计局令第28号）　第三十七条：“县级以上人民政府统计机构应当在《统计行政处罚决定书》作出后7日内送达处罚对象……”</w:t>
            </w:r>
          </w:p>
          <w:p>
            <w:pPr>
              <w:tabs>
                <w:tab w:val="left" w:pos="7937"/>
              </w:tabs>
              <w:spacing w:line="0" w:lineRule="atLeast"/>
              <w:rPr>
                <w:rFonts w:asciiTheme="minorEastAsia" w:hAnsiTheme="minorEastAsia" w:eastAsiaTheme="minorEastAsia"/>
                <w:sz w:val="16"/>
              </w:rPr>
            </w:pPr>
          </w:p>
        </w:tc>
        <w:tc>
          <w:tcPr>
            <w:tcW w:w="1984" w:type="dxa"/>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1.没有法定的处罚依据的；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2.擅自改变处罚种类、幅度的；</w:t>
            </w: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3.违反法定的处罚程序的；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4.违反规定委托处罚的；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5.泄露在检查过程中知悉的国家秘密、商业秘密、个人信息资料和能够识别或者推断单个调查对象身份的资料；</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6.违法实行检查措施或者执行措施，给公民人身或者财产造成损害、给法人或者其他组织造成损失的；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7.滥用职权、徇私舞弊的；</w:t>
            </w:r>
          </w:p>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8.其他违反法律法规规章文件规定的行为。</w:t>
            </w:r>
          </w:p>
        </w:tc>
        <w:tc>
          <w:tcPr>
            <w:tcW w:w="3119" w:type="dxa"/>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4.同1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(四)未按法定权限、程序和要求开展统计执法监督检查，造成不良后果；(五)违反保密规定，泄露举报人或者案情；(六)滥用职权，徇私舞弊；(七)其他违纪违法行为。”</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8.同上</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w:t>
            </w:r>
          </w:p>
        </w:tc>
        <w:tc>
          <w:tcPr>
            <w:tcW w:w="680" w:type="dxa"/>
            <w:vAlign w:val="center"/>
          </w:tcPr>
          <w:p>
            <w:pPr>
              <w:spacing w:line="0" w:lineRule="atLeast"/>
              <w:jc w:val="center"/>
              <w:rPr>
                <w:rFonts w:asciiTheme="minorEastAsia" w:hAnsiTheme="minorEastAsia" w:eastAsiaTheme="minorEastAsia"/>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trPr>
        <w:tc>
          <w:tcPr>
            <w:tcW w:w="352" w:type="dxa"/>
            <w:vAlign w:val="center"/>
          </w:tcPr>
          <w:p>
            <w:pPr>
              <w:tabs>
                <w:tab w:val="left" w:pos="7937"/>
              </w:tabs>
              <w:spacing w:line="0" w:lineRule="atLeast"/>
              <w:jc w:val="center"/>
              <w:rPr>
                <w:rFonts w:cs="仿宋" w:asciiTheme="minorEastAsia" w:hAnsiTheme="minorEastAsia" w:eastAsiaTheme="minorEastAsia"/>
                <w:sz w:val="16"/>
                <w:szCs w:val="24"/>
              </w:rPr>
            </w:pPr>
            <w:r>
              <w:rPr>
                <w:rFonts w:hint="eastAsia" w:cs="仿宋" w:asciiTheme="minorEastAsia" w:hAnsiTheme="minorEastAsia" w:eastAsiaTheme="minorEastAsia"/>
                <w:sz w:val="16"/>
                <w:szCs w:val="24"/>
              </w:rPr>
              <w:t>4</w:t>
            </w:r>
          </w:p>
        </w:tc>
        <w:tc>
          <w:tcPr>
            <w:tcW w:w="667" w:type="dxa"/>
            <w:vAlign w:val="center"/>
          </w:tcPr>
          <w:p>
            <w:pPr>
              <w:tabs>
                <w:tab w:val="left" w:pos="7937"/>
              </w:tabs>
              <w:spacing w:line="0" w:lineRule="atLeast"/>
              <w:jc w:val="center"/>
              <w:rPr>
                <w:rFonts w:asciiTheme="minorEastAsia" w:hAnsiTheme="minorEastAsia" w:eastAsiaTheme="minorEastAsia"/>
                <w:sz w:val="16"/>
              </w:rPr>
            </w:pPr>
            <w:r>
              <w:rPr>
                <w:rFonts w:hint="eastAsia" w:asciiTheme="minorEastAsia" w:hAnsiTheme="minorEastAsia" w:eastAsiaTheme="minorEastAsia"/>
                <w:sz w:val="16"/>
              </w:rPr>
              <w:t>行政处罚</w:t>
            </w:r>
          </w:p>
        </w:tc>
        <w:tc>
          <w:tcPr>
            <w:tcW w:w="1250" w:type="dxa"/>
            <w:vAlign w:val="center"/>
          </w:tcPr>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对违反统计调查证管理规定的处罚</w:t>
            </w:r>
          </w:p>
        </w:tc>
        <w:tc>
          <w:tcPr>
            <w:tcW w:w="391" w:type="dxa"/>
            <w:vAlign w:val="center"/>
          </w:tcPr>
          <w:p>
            <w:pPr>
              <w:tabs>
                <w:tab w:val="left" w:pos="7937"/>
              </w:tabs>
              <w:spacing w:line="0" w:lineRule="atLeast"/>
              <w:jc w:val="center"/>
              <w:rPr>
                <w:rFonts w:hint="eastAsia" w:asciiTheme="minorEastAsia" w:hAnsiTheme="minorEastAsia" w:eastAsiaTheme="minorEastAsia"/>
                <w:sz w:val="16"/>
                <w:lang w:eastAsia="zh-CN"/>
              </w:rPr>
            </w:pPr>
            <w:r>
              <w:rPr>
                <w:rFonts w:hint="eastAsia" w:asciiTheme="minorEastAsia" w:hAnsiTheme="minorEastAsia" w:eastAsiaTheme="minorEastAsia"/>
                <w:sz w:val="16"/>
                <w:lang w:eastAsia="zh-CN"/>
              </w:rPr>
              <w:t>双桥区统计局</w:t>
            </w:r>
          </w:p>
        </w:tc>
        <w:tc>
          <w:tcPr>
            <w:tcW w:w="3118" w:type="dxa"/>
            <w:vAlign w:val="center"/>
          </w:tcPr>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《统计调查证管理办法》（2017年6月26日国家统计局令第19号）第十二条第十二条　任何单位违反本办法规定，伪造、变造或者冒用统计调查证的，由县级以上人民政府统计机构责令改正，予以警告，予以通报。对非经营活动中发生上述违法行为的，还可以处1000元以下的罚款。对经营活动中发生上述违法行为，有违法所得的，可以处违法所得1倍以上3倍以下但不超过3万元的罚款；没有违法所得，还可以处1万元以下的罚款。</w:t>
            </w:r>
            <w:r>
              <w:rPr>
                <w:rFonts w:hint="eastAsia" w:asciiTheme="minorEastAsia" w:hAnsiTheme="minorEastAsia" w:eastAsiaTheme="minorEastAsia"/>
                <w:color w:val="000000"/>
                <w:sz w:val="16"/>
                <w:szCs w:val="22"/>
              </w:rPr>
              <w:br w:type="textWrapping"/>
            </w:r>
            <w:r>
              <w:rPr>
                <w:rFonts w:hint="eastAsia" w:asciiTheme="minorEastAsia" w:hAnsiTheme="minorEastAsia" w:eastAsiaTheme="minorEastAsia"/>
                <w:color w:val="000000"/>
                <w:sz w:val="16"/>
                <w:szCs w:val="22"/>
              </w:rPr>
              <w:t>　　对有前款违法行为的有关责任人员，由县级以上人民政府统计机构责令改正予以警告，可以予以通报，可以处1000元以下的罚款；构成违反治安管理行为的，依法予以治安管理处罚；构成犯罪的，依法追究刑事责任。</w:t>
            </w:r>
          </w:p>
        </w:tc>
        <w:tc>
          <w:tcPr>
            <w:tcW w:w="1843" w:type="dxa"/>
            <w:vMerge w:val="restart"/>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1.调查取证：执法检查人员不得少于2人，重大案件应组成执法检查组，合法、客观、全面地收集证据。</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2.作出决定：对案件进行讨论审理，确定统计违法行为性质和处理决定，在审理过程中发现统计违法事实不清、证据不足或者程序错误的，应当及时补充或者重新调查。</w:t>
            </w:r>
          </w:p>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hint="eastAsia" w:asciiTheme="minorEastAsia" w:hAnsiTheme="minorEastAsia" w:eastAsiaTheme="minorEastAsia"/>
                <w:color w:val="000000"/>
                <w:sz w:val="16"/>
                <w:szCs w:val="22"/>
              </w:rPr>
              <w:br w:type="page"/>
            </w:r>
          </w:p>
        </w:tc>
        <w:tc>
          <w:tcPr>
            <w:tcW w:w="2410" w:type="dxa"/>
            <w:vMerge w:val="restart"/>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 xml:space="preserve">1.《统计执法监督检查办法》（中华人民共和国国家统计局令第28号）第二十九条“立案查处的案件，一般案件执法检查人员不得少于2人，重大案件应当按规定组成执法检查组。” </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4.统计执法监督检查办法（中华人民共和国国家统计局令第28号）　第三十七条：“县级以上人民政府统计机构应当在《统计行政处罚决定书》作出后7日内送达处罚对象……”</w:t>
            </w:r>
          </w:p>
          <w:p>
            <w:pPr>
              <w:tabs>
                <w:tab w:val="left" w:pos="7937"/>
              </w:tabs>
              <w:spacing w:line="0" w:lineRule="atLeast"/>
              <w:rPr>
                <w:rFonts w:asciiTheme="minorEastAsia" w:hAnsiTheme="minorEastAsia" w:eastAsiaTheme="minorEastAsia"/>
                <w:sz w:val="16"/>
              </w:rPr>
            </w:pPr>
          </w:p>
        </w:tc>
        <w:tc>
          <w:tcPr>
            <w:tcW w:w="1984" w:type="dxa"/>
            <w:vMerge w:val="restart"/>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1.没有法定的处罚依据的；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2.擅自改变处罚种类、幅度的；</w:t>
            </w: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3.违反法定的处罚程序的；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4.违反规定委托处罚的；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5.泄露在检查过程中知悉的国家秘密、商业秘密、个人信息资料和能够识别或者推断单个调查对象身份的资料；</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6.违法实行检查措施或者执行措施，给公民人身或者财产造成损害、给法人或者其他组织造成损失的；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7.滥用职权、徇私舞弊的；</w:t>
            </w:r>
          </w:p>
          <w:p>
            <w:pPr>
              <w:spacing w:line="0" w:lineRule="atLeast"/>
              <w:rPr>
                <w:rFonts w:cs="宋体"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br w:type="page"/>
            </w:r>
            <w:r>
              <w:rPr>
                <w:rFonts w:hint="eastAsia" w:asciiTheme="minorEastAsia" w:hAnsiTheme="minorEastAsia" w:eastAsiaTheme="minorEastAsia"/>
                <w:color w:val="000000"/>
                <w:sz w:val="16"/>
                <w:szCs w:val="22"/>
              </w:rPr>
              <w:t>8.其他违反法律法规规章文件规定的行为。</w:t>
            </w:r>
          </w:p>
        </w:tc>
        <w:tc>
          <w:tcPr>
            <w:tcW w:w="3119" w:type="dxa"/>
            <w:vMerge w:val="restart"/>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4.同1</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四)未按法定权限、程序和要求开展统计执法监督检查，造成不良后果；(五)违反保密规定，泄露举报人或者案情；(六)滥用职权，徇私舞弊；(七)其他违纪违法行为。”</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8.同上</w:t>
            </w:r>
          </w:p>
        </w:tc>
        <w:tc>
          <w:tcPr>
            <w:tcW w:w="680" w:type="dxa"/>
            <w:vMerge w:val="restart"/>
            <w:vAlign w:val="center"/>
          </w:tcPr>
          <w:p>
            <w:pPr>
              <w:spacing w:line="0" w:lineRule="atLeast"/>
              <w:jc w:val="center"/>
              <w:rPr>
                <w:rFonts w:asciiTheme="minorEastAsia" w:hAnsiTheme="minorEastAsia" w:eastAsiaTheme="minorEastAsia"/>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trPr>
        <w:tc>
          <w:tcPr>
            <w:tcW w:w="352"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0" w:lineRule="atLeast"/>
              <w:jc w:val="center"/>
              <w:rPr>
                <w:rFonts w:cs="仿宋" w:asciiTheme="minorEastAsia" w:hAnsiTheme="minorEastAsia" w:eastAsiaTheme="minorEastAsia"/>
                <w:sz w:val="16"/>
                <w:szCs w:val="24"/>
              </w:rPr>
            </w:pPr>
            <w:r>
              <w:rPr>
                <w:rFonts w:hint="eastAsia" w:cs="仿宋" w:asciiTheme="minorEastAsia" w:hAnsiTheme="minorEastAsia" w:eastAsiaTheme="minorEastAsia"/>
                <w:sz w:val="16"/>
                <w:szCs w:val="24"/>
              </w:rPr>
              <w:t>5</w:t>
            </w:r>
          </w:p>
        </w:tc>
        <w:tc>
          <w:tcPr>
            <w:tcW w:w="667"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0" w:lineRule="atLeast"/>
              <w:jc w:val="center"/>
              <w:rPr>
                <w:rFonts w:asciiTheme="minorEastAsia" w:hAnsiTheme="minorEastAsia" w:eastAsiaTheme="minorEastAsia"/>
                <w:sz w:val="16"/>
              </w:rPr>
            </w:pPr>
            <w:r>
              <w:rPr>
                <w:rFonts w:hint="eastAsia" w:asciiTheme="minorEastAsia" w:hAnsiTheme="minorEastAsia" w:eastAsiaTheme="minorEastAsia"/>
                <w:sz w:val="16"/>
              </w:rPr>
              <w:t>行政处罚</w:t>
            </w:r>
          </w:p>
        </w:tc>
        <w:tc>
          <w:tcPr>
            <w:tcW w:w="125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对组织实施营利性统计调查的处罚</w:t>
            </w:r>
          </w:p>
        </w:tc>
        <w:tc>
          <w:tcPr>
            <w:tcW w:w="39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0" w:lineRule="atLeast"/>
              <w:jc w:val="center"/>
              <w:rPr>
                <w:rFonts w:hint="eastAsia" w:asciiTheme="minorEastAsia" w:hAnsiTheme="minorEastAsia" w:eastAsiaTheme="minorEastAsia"/>
                <w:color w:val="000000"/>
                <w:sz w:val="16"/>
                <w:szCs w:val="22"/>
                <w:lang w:eastAsia="zh-CN"/>
              </w:rPr>
            </w:pPr>
            <w:r>
              <w:rPr>
                <w:rFonts w:hint="eastAsia" w:asciiTheme="minorEastAsia" w:hAnsiTheme="minorEastAsia" w:eastAsiaTheme="minorEastAsia"/>
                <w:color w:val="000000"/>
                <w:sz w:val="16"/>
                <w:szCs w:val="22"/>
                <w:lang w:eastAsia="zh-CN"/>
              </w:rPr>
              <w:t>双桥区统计局</w:t>
            </w:r>
          </w:p>
        </w:tc>
        <w:tc>
          <w:tcPr>
            <w:tcW w:w="3118" w:type="dxa"/>
            <w:tcBorders>
              <w:top w:val="single" w:color="auto" w:sz="4" w:space="0"/>
              <w:left w:val="single" w:color="auto" w:sz="4" w:space="0"/>
              <w:bottom w:val="single" w:color="auto" w:sz="4" w:space="0"/>
            </w:tcBorders>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《中华人民共和国统计法实施条例》（2017年4月12日国务院第168次常务会议通过 自2017年8月1日起施行）第四十一条　县级以上人民政府统计机构或者有关部门组织实施营利性统计调查的，由本级人民政府、上级人民政府统计机构或者本级人民政府统计机构责令改正，予以通报；有违法所得的，没收违法所得。</w:t>
            </w:r>
          </w:p>
        </w:tc>
        <w:tc>
          <w:tcPr>
            <w:tcW w:w="1843" w:type="dxa"/>
            <w:vMerge w:val="continue"/>
            <w:tcBorders>
              <w:bottom w:val="single" w:color="auto" w:sz="4" w:space="0"/>
            </w:tcBorders>
            <w:vAlign w:val="center"/>
          </w:tcPr>
          <w:p>
            <w:pPr>
              <w:tabs>
                <w:tab w:val="left" w:pos="7937"/>
              </w:tabs>
              <w:spacing w:line="0" w:lineRule="atLeast"/>
              <w:rPr>
                <w:rFonts w:asciiTheme="minorEastAsia" w:hAnsiTheme="minorEastAsia" w:eastAsiaTheme="minorEastAsia"/>
                <w:sz w:val="16"/>
              </w:rPr>
            </w:pPr>
          </w:p>
        </w:tc>
        <w:tc>
          <w:tcPr>
            <w:tcW w:w="2410" w:type="dxa"/>
            <w:vMerge w:val="continue"/>
            <w:tcBorders>
              <w:bottom w:val="single" w:color="auto" w:sz="4" w:space="0"/>
            </w:tcBorders>
            <w:vAlign w:val="center"/>
          </w:tcPr>
          <w:p>
            <w:pPr>
              <w:tabs>
                <w:tab w:val="left" w:pos="7937"/>
              </w:tabs>
              <w:spacing w:line="0" w:lineRule="atLeast"/>
              <w:rPr>
                <w:rFonts w:asciiTheme="minorEastAsia" w:hAnsiTheme="minorEastAsia" w:eastAsiaTheme="minorEastAsia"/>
                <w:sz w:val="16"/>
              </w:rPr>
            </w:pPr>
          </w:p>
        </w:tc>
        <w:tc>
          <w:tcPr>
            <w:tcW w:w="1984" w:type="dxa"/>
            <w:vMerge w:val="continue"/>
            <w:tcBorders>
              <w:bottom w:val="single" w:color="auto" w:sz="4" w:space="0"/>
            </w:tcBorders>
            <w:vAlign w:val="center"/>
          </w:tcPr>
          <w:p>
            <w:pPr>
              <w:tabs>
                <w:tab w:val="left" w:pos="7937"/>
              </w:tabs>
              <w:spacing w:line="0" w:lineRule="atLeast"/>
              <w:rPr>
                <w:rFonts w:asciiTheme="minorEastAsia" w:hAnsiTheme="minorEastAsia" w:eastAsiaTheme="minorEastAsia"/>
                <w:sz w:val="16"/>
              </w:rPr>
            </w:pPr>
          </w:p>
        </w:tc>
        <w:tc>
          <w:tcPr>
            <w:tcW w:w="3119" w:type="dxa"/>
            <w:vMerge w:val="continue"/>
            <w:tcBorders>
              <w:bottom w:val="single" w:color="auto" w:sz="4" w:space="0"/>
            </w:tcBorders>
            <w:vAlign w:val="center"/>
          </w:tcPr>
          <w:p>
            <w:pPr>
              <w:tabs>
                <w:tab w:val="left" w:pos="7937"/>
              </w:tabs>
              <w:spacing w:line="0" w:lineRule="atLeast"/>
              <w:rPr>
                <w:rFonts w:asciiTheme="minorEastAsia" w:hAnsiTheme="minorEastAsia" w:eastAsiaTheme="minorEastAsia"/>
                <w:sz w:val="16"/>
              </w:rPr>
            </w:pPr>
          </w:p>
        </w:tc>
        <w:tc>
          <w:tcPr>
            <w:tcW w:w="680" w:type="dxa"/>
            <w:vMerge w:val="continue"/>
            <w:tcBorders>
              <w:bottom w:val="single" w:color="auto" w:sz="4" w:space="0"/>
            </w:tcBorders>
            <w:vAlign w:val="center"/>
          </w:tcPr>
          <w:p>
            <w:pPr>
              <w:spacing w:line="0" w:lineRule="atLeast"/>
              <w:jc w:val="center"/>
              <w:rPr>
                <w:rFonts w:asciiTheme="minorEastAsia" w:hAnsiTheme="minorEastAsia" w:eastAsiaTheme="minorEastAsia"/>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3" w:hRule="atLeast"/>
        </w:trPr>
        <w:tc>
          <w:tcPr>
            <w:tcW w:w="352"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0" w:lineRule="atLeast"/>
              <w:jc w:val="center"/>
              <w:rPr>
                <w:rFonts w:cs="仿宋" w:asciiTheme="minorEastAsia" w:hAnsiTheme="minorEastAsia" w:eastAsiaTheme="minorEastAsia"/>
                <w:sz w:val="16"/>
                <w:szCs w:val="24"/>
              </w:rPr>
            </w:pPr>
            <w:r>
              <w:rPr>
                <w:rFonts w:hint="eastAsia" w:cs="仿宋" w:asciiTheme="minorEastAsia" w:hAnsiTheme="minorEastAsia" w:eastAsiaTheme="minorEastAsia"/>
                <w:sz w:val="16"/>
                <w:szCs w:val="24"/>
              </w:rPr>
              <w:t>6</w:t>
            </w:r>
          </w:p>
        </w:tc>
        <w:tc>
          <w:tcPr>
            <w:tcW w:w="667"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0" w:lineRule="atLeast"/>
              <w:jc w:val="center"/>
              <w:rPr>
                <w:rFonts w:asciiTheme="minorEastAsia" w:hAnsiTheme="minorEastAsia" w:eastAsiaTheme="minorEastAsia"/>
                <w:sz w:val="16"/>
              </w:rPr>
            </w:pPr>
            <w:r>
              <w:rPr>
                <w:rFonts w:hint="eastAsia" w:asciiTheme="minorEastAsia" w:hAnsiTheme="minorEastAsia" w:eastAsiaTheme="minorEastAsia"/>
                <w:sz w:val="16"/>
              </w:rPr>
              <w:t>行政检查</w:t>
            </w:r>
          </w:p>
        </w:tc>
        <w:tc>
          <w:tcPr>
            <w:tcW w:w="125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对统计调查对象遵守统计法律法规规章、统计调查制度情况的检查</w:t>
            </w:r>
          </w:p>
        </w:tc>
        <w:tc>
          <w:tcPr>
            <w:tcW w:w="391"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0" w:lineRule="atLeast"/>
              <w:jc w:val="center"/>
              <w:rPr>
                <w:rFonts w:hint="eastAsia" w:asciiTheme="minorEastAsia" w:hAnsiTheme="minorEastAsia" w:eastAsiaTheme="minorEastAsia"/>
                <w:sz w:val="16"/>
                <w:lang w:eastAsia="zh-CN"/>
              </w:rPr>
            </w:pPr>
            <w:r>
              <w:rPr>
                <w:rFonts w:hint="eastAsia" w:asciiTheme="minorEastAsia" w:hAnsiTheme="minorEastAsia" w:eastAsiaTheme="minorEastAsia"/>
                <w:sz w:val="16"/>
                <w:lang w:eastAsia="zh-CN"/>
              </w:rPr>
              <w:t>双桥区统计局</w:t>
            </w:r>
          </w:p>
        </w:tc>
        <w:tc>
          <w:tcPr>
            <w:tcW w:w="31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《中华人民共和国统计法》第三十三条　国家统计局组织管理全国统计工作的监督检查，查处重大统计违法行为。</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 xml:space="preserve">    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 xml:space="preserve">    法律、行政法规对有关部门查处统计违法行为另有规定的，从其规定。</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《统计执法监督检查办法》第十四条　统计执法监督检查事项包括：</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（一）地方各级人民政府、政府统计机构和有关部门以及各单位及其负责人遵守、执行统计法律法规规章和国家统计规则、政令情况；</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（二）地方各级人民政府、政府统计机构和有关部门建立防范和惩治统计造假、弄虚作假责任制和问责制情况；</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（三）统计机构和统计人员依法独立行使统计调查、统计报告、统计监督职权情况；</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（四）国家机关、企业事业单位和其他组织以及个体工商户和个人等统计调查对象遵守统计法律法规规章、统计调查制度情况；</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（五）依法开展涉外统计调查和民间统计调查情况；</w:t>
            </w:r>
          </w:p>
          <w:p>
            <w:pPr>
              <w:spacing w:line="0" w:lineRule="atLeast"/>
              <w:rPr>
                <w:rFonts w:asciiTheme="minorEastAsia" w:hAnsiTheme="minorEastAsia" w:eastAsiaTheme="minorEastAsia"/>
                <w:color w:val="000000"/>
                <w:sz w:val="16"/>
                <w:szCs w:val="22"/>
              </w:rPr>
            </w:pPr>
            <w:r>
              <w:rPr>
                <w:rFonts w:hint="eastAsia" w:asciiTheme="minorEastAsia" w:hAnsiTheme="minorEastAsia" w:eastAsiaTheme="minorEastAsia"/>
                <w:color w:val="000000"/>
                <w:sz w:val="16"/>
                <w:szCs w:val="22"/>
              </w:rPr>
              <w:t>（六）法律法规规章规定的其他事项。</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1.检查告知：在实施检查前告知被检查对象实施检查的行政主体名称，检查的依据、范围、内容和方式，以及相应的法律责任，监督检查人员不得少于二人，并应当出示执法证件；</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2.实施检查：依据《</w:t>
            </w:r>
            <w:r>
              <w:rPr>
                <w:rFonts w:hint="eastAsia" w:asciiTheme="minorEastAsia" w:hAnsiTheme="minorEastAsia" w:eastAsiaTheme="minorEastAsia"/>
                <w:color w:val="000000"/>
                <w:sz w:val="16"/>
                <w:szCs w:val="22"/>
              </w:rPr>
              <w:t>中华人民共和国统计法</w:t>
            </w:r>
            <w:r>
              <w:rPr>
                <w:rFonts w:hint="eastAsia" w:asciiTheme="minorEastAsia" w:hAnsiTheme="minorEastAsia" w:eastAsiaTheme="minorEastAsia"/>
                <w:sz w:val="16"/>
              </w:rPr>
              <w:t>》第三十五条的规定，行使检查职权。</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3.结果处理：检查结束后，依据检查情况反馈、公示检查结果。发现有统计违法行为，符合立案查处条件的，予以立案查处。</w:t>
            </w:r>
          </w:p>
          <w:p>
            <w:pPr>
              <w:tabs>
                <w:tab w:val="left" w:pos="7937"/>
              </w:tabs>
              <w:spacing w:line="0" w:lineRule="atLeast"/>
              <w:rPr>
                <w:rFonts w:asciiTheme="minorEastAsia" w:hAnsiTheme="minorEastAsia" w:eastAsiaTheme="minorEastAsia"/>
                <w:sz w:val="16"/>
              </w:rPr>
            </w:pP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1. 统计执法监督检查办法（中华人民共和国国家统计局令第28号第十八条：“统计执法监督检查机构进行执法监督检查时，执法检查人员不得少于2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 统计执法监督检查办法（中华人民共和国国家统计局令第28号第十九条：“县级以上人民政府统计机构调查统计违法行为或者核查统计数据时，依据《</w:t>
            </w:r>
            <w:r>
              <w:rPr>
                <w:rFonts w:hint="eastAsia" w:asciiTheme="minorEastAsia" w:hAnsiTheme="minorEastAsia" w:eastAsiaTheme="minorEastAsia"/>
                <w:color w:val="000000"/>
                <w:sz w:val="16"/>
                <w:szCs w:val="22"/>
              </w:rPr>
              <w:t>中华人民共和国统计法</w:t>
            </w:r>
            <w:bookmarkStart w:id="0" w:name="_GoBack"/>
            <w:bookmarkEnd w:id="0"/>
            <w:r>
              <w:rPr>
                <w:rFonts w:hint="eastAsia" w:asciiTheme="minorEastAsia" w:hAnsiTheme="minorEastAsia" w:eastAsiaTheme="minorEastAsia"/>
                <w:sz w:val="16"/>
              </w:rPr>
              <w:t>》第三十五条的规定，行使统计执法监督检查职权。”</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 统计执法监督检查办法（中华人民共和国国家统计局令第28号第二十三条：“统计执法监督检查机构应当在调查结束后，及时向所属人民政府统计机构提交监督检查报告，报告检查中发现的问题并提出处理建议。处理建议包括：（一）发现有统计违法行为，符合立案查处条件的，予以立案查处；（二）发现统计违法事实不清、证据不足或者程序错误的，应当及时补充或者重新调查；</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（三）按照违法行为性质、情节，提请上一级或者移交下级人民政府统计机构立案查处；</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（四）未发现统计违法行为或者统计违法事实轻微，依法不应追究法律责任的，不予处理。”</w:t>
            </w:r>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1.未告知被检查对象实施检查的人民政府统计机构名称，检查的依据、范围、内容和方式，以及相应的权利、义务和法律责任；</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2.未按法定权限、程序和要求开展统计执法监督检查，造成不良后果；</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3.泄露在检查过程中知悉的国家秘密、商业秘密、个人信息资料和能够识别或者推断单个调查对象身份的资料；</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4.其他违反法律法规规章文件规定的行为。</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1. 统计执法监督检查办法（中华人民共和国国家统计局令第28号第十八条：“统计执法监督检查机构进行执法监督检查时，执法检查人员不得少于2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2.《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四)未按法定权限、程序和要求开展统计执法监督检查，造成不良后果；(五)违反保密规定，泄露举报人或者案情；(六)滥用职权，徇私舞弊；(七)其他违纪违法行为。”</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3.同2</w:t>
            </w:r>
          </w:p>
          <w:p>
            <w:pPr>
              <w:tabs>
                <w:tab w:val="left" w:pos="7937"/>
              </w:tabs>
              <w:spacing w:line="0" w:lineRule="atLeast"/>
              <w:rPr>
                <w:rFonts w:asciiTheme="minorEastAsia" w:hAnsiTheme="minorEastAsia" w:eastAsiaTheme="minorEastAsia"/>
                <w:sz w:val="16"/>
              </w:rPr>
            </w:pPr>
            <w:r>
              <w:rPr>
                <w:rFonts w:hint="eastAsia" w:asciiTheme="minorEastAsia" w:hAnsiTheme="minorEastAsia" w:eastAsiaTheme="minorEastAsia"/>
                <w:sz w:val="16"/>
              </w:rPr>
              <w:t>4.同2</w:t>
            </w:r>
          </w:p>
        </w:tc>
        <w:tc>
          <w:tcPr>
            <w:tcW w:w="6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heme="minorEastAsia" w:hAnsiTheme="minorEastAsia" w:eastAsiaTheme="minorEastAsia"/>
                <w:sz w:val="16"/>
              </w:rPr>
            </w:pPr>
          </w:p>
        </w:tc>
      </w:tr>
    </w:tbl>
    <w:p>
      <w:pPr>
        <w:spacing w:line="600" w:lineRule="exact"/>
        <w:rPr>
          <w:rFonts w:ascii="仿宋_GB2312"/>
        </w:rPr>
      </w:pPr>
    </w:p>
    <w:sectPr>
      <w:footerReference r:id="rId3" w:type="default"/>
      <w:pgSz w:w="16838" w:h="11906" w:orient="landscape"/>
      <w:pgMar w:top="567" w:right="567" w:bottom="567" w:left="567"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4"/>
                  <w:rPr>
                    <w:rStyle w:val="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xYWEyYzhiOTE5ZDkwOGFkM2RmODlmMGFjNTkxNjUifQ=="/>
  </w:docVars>
  <w:rsids>
    <w:rsidRoot w:val="00172A27"/>
    <w:rsid w:val="000C112F"/>
    <w:rsid w:val="00172A27"/>
    <w:rsid w:val="00197758"/>
    <w:rsid w:val="00207AA6"/>
    <w:rsid w:val="00292884"/>
    <w:rsid w:val="002B264B"/>
    <w:rsid w:val="002F5ECE"/>
    <w:rsid w:val="00450285"/>
    <w:rsid w:val="00483BB5"/>
    <w:rsid w:val="004D6B11"/>
    <w:rsid w:val="005304B0"/>
    <w:rsid w:val="006640C6"/>
    <w:rsid w:val="00931BE2"/>
    <w:rsid w:val="00965499"/>
    <w:rsid w:val="009B507D"/>
    <w:rsid w:val="00A47A12"/>
    <w:rsid w:val="00B317CF"/>
    <w:rsid w:val="00B57D94"/>
    <w:rsid w:val="00BE6B88"/>
    <w:rsid w:val="00CB63AF"/>
    <w:rsid w:val="00DF2E76"/>
    <w:rsid w:val="00EC4E3F"/>
    <w:rsid w:val="00EF75A7"/>
    <w:rsid w:val="00F7409D"/>
    <w:rsid w:val="038F1C10"/>
    <w:rsid w:val="05113609"/>
    <w:rsid w:val="05C43A26"/>
    <w:rsid w:val="061E7CF8"/>
    <w:rsid w:val="06592C2E"/>
    <w:rsid w:val="0A36020E"/>
    <w:rsid w:val="0AAD7608"/>
    <w:rsid w:val="11DA4857"/>
    <w:rsid w:val="13C26830"/>
    <w:rsid w:val="16073D5A"/>
    <w:rsid w:val="180A2DE4"/>
    <w:rsid w:val="20BC5F46"/>
    <w:rsid w:val="26B72CCB"/>
    <w:rsid w:val="2C950BF0"/>
    <w:rsid w:val="2D985D01"/>
    <w:rsid w:val="2FB94262"/>
    <w:rsid w:val="335260EE"/>
    <w:rsid w:val="3655740A"/>
    <w:rsid w:val="3B09665A"/>
    <w:rsid w:val="3B3D70B0"/>
    <w:rsid w:val="3D5222E5"/>
    <w:rsid w:val="3FBF7A24"/>
    <w:rsid w:val="467F3CDA"/>
    <w:rsid w:val="49503313"/>
    <w:rsid w:val="4BA74C54"/>
    <w:rsid w:val="4DB866BE"/>
    <w:rsid w:val="500C4746"/>
    <w:rsid w:val="50DE6749"/>
    <w:rsid w:val="52077A45"/>
    <w:rsid w:val="520D09B6"/>
    <w:rsid w:val="57344F96"/>
    <w:rsid w:val="57A157F2"/>
    <w:rsid w:val="57C34286"/>
    <w:rsid w:val="5C5D7EB2"/>
    <w:rsid w:val="61D702F8"/>
    <w:rsid w:val="6433559C"/>
    <w:rsid w:val="6798011D"/>
    <w:rsid w:val="68744927"/>
    <w:rsid w:val="690A7608"/>
    <w:rsid w:val="6C301F38"/>
    <w:rsid w:val="6EAF37B0"/>
    <w:rsid w:val="6FB329E1"/>
    <w:rsid w:val="6FEF72CB"/>
    <w:rsid w:val="70474568"/>
    <w:rsid w:val="7252200A"/>
    <w:rsid w:val="73020B1B"/>
    <w:rsid w:val="76B25C0C"/>
    <w:rsid w:val="78D55F29"/>
    <w:rsid w:val="79147801"/>
    <w:rsid w:val="7DD4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页码1"/>
    <w:basedOn w:val="7"/>
    <w:qFormat/>
    <w:uiPriority w:val="0"/>
  </w:style>
  <w:style w:type="paragraph" w:customStyle="1" w:styleId="10">
    <w:name w:val="一级条标题"/>
    <w:next w:val="11"/>
    <w:qFormat/>
    <w:uiPriority w:val="0"/>
    <w:pPr>
      <w:outlineLvl w:val="2"/>
    </w:pPr>
    <w:rPr>
      <w:rFonts w:ascii="Times New Roman" w:hAnsi="Times New Roman" w:eastAsia="黑体" w:cs="Times New Roman"/>
      <w:sz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Char"/>
    <w:basedOn w:val="1"/>
    <w:qFormat/>
    <w:uiPriority w:val="0"/>
    <w:pPr>
      <w:snapToGrid w:val="0"/>
      <w:spacing w:afterLines="50" w:line="360" w:lineRule="auto"/>
      <w:ind w:firstLine="480" w:firstLineChars="200"/>
    </w:pPr>
  </w:style>
  <w:style w:type="paragraph" w:customStyle="1" w:styleId="13">
    <w:name w:val="默认段落字体 Para Char Char Char Char"/>
    <w:basedOn w:val="1"/>
    <w:qFormat/>
    <w:uiPriority w:val="0"/>
    <w:rPr>
      <w:rFonts w:eastAsia="宋体"/>
      <w:sz w:val="21"/>
      <w:szCs w:val="20"/>
    </w:rPr>
  </w:style>
  <w:style w:type="paragraph" w:customStyle="1" w:styleId="14">
    <w:name w:val="_Style 2"/>
    <w:basedOn w:val="1"/>
    <w:qFormat/>
    <w:uiPriority w:val="0"/>
  </w:style>
  <w:style w:type="paragraph" w:customStyle="1" w:styleId="1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styleId="16">
    <w:name w:val="List Paragraph"/>
    <w:basedOn w:val="1"/>
    <w:qFormat/>
    <w:uiPriority w:val="0"/>
    <w:pPr>
      <w:ind w:firstLine="420" w:firstLineChars="200"/>
    </w:pPr>
    <w:rPr>
      <w:rFonts w:ascii="仿宋_GB2312" w:hAnsi="宋体"/>
    </w:rPr>
  </w:style>
  <w:style w:type="paragraph" w:customStyle="1" w:styleId="17">
    <w:name w:val="标准书眉_偶数页"/>
    <w:basedOn w:val="18"/>
    <w:next w:val="1"/>
    <w:qFormat/>
    <w:uiPriority w:val="0"/>
    <w:pPr>
      <w:tabs>
        <w:tab w:val="center" w:pos="4154"/>
        <w:tab w:val="right" w:pos="8306"/>
      </w:tabs>
      <w:jc w:val="left"/>
    </w:p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19">
    <w:name w:val="批注框文本 Char"/>
    <w:basedOn w:val="7"/>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1646</Words>
  <Characters>9385</Characters>
  <Lines>78</Lines>
  <Paragraphs>22</Paragraphs>
  <TotalTime>1</TotalTime>
  <ScaleCrop>false</ScaleCrop>
  <LinksUpToDate>false</LinksUpToDate>
  <CharactersWithSpaces>11009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2020-11-27T07:52:00Z</dcterms:created>
  <dc:creator>USER</dc:creator>
  <cp:lastModifiedBy>路飞开Jeep</cp:lastModifiedBy>
  <cp:lastPrinted>2020-11-27T08:26:00Z</cp:lastPrinted>
  <dcterms:modified xsi:type="dcterms:W3CDTF">2023-11-20T08:28:10Z</dcterms:modified>
  <dc:title>河北省建立行政权力清单制度工作指南</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ED8D621DCD144B3C9BBF532B2A7F63EB</vt:lpwstr>
  </property>
</Properties>
</file>