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承德</w:t>
      </w:r>
      <w:r>
        <w:rPr>
          <w:rFonts w:hint="eastAsia" w:ascii="方正小标宋简体" w:hAnsi="方正小标宋简体" w:eastAsia="方正小标宋简体" w:cs="方正小标宋简体"/>
          <w:sz w:val="44"/>
          <w:szCs w:val="44"/>
          <w:lang w:val="en-US" w:eastAsia="zh-CN"/>
        </w:rPr>
        <w:t>市商务局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关于推荐第二批</w:t>
      </w:r>
      <w:r>
        <w:rPr>
          <w:rFonts w:hint="eastAsia" w:ascii="方正小标宋简体" w:hAnsi="方正小标宋简体" w:eastAsia="方正小标宋简体" w:cs="方正小标宋简体"/>
          <w:sz w:val="44"/>
          <w:szCs w:val="44"/>
          <w:lang w:val="en-US" w:eastAsia="zh-CN"/>
        </w:rPr>
        <w:t>2024年河北省</w:t>
      </w:r>
      <w:r>
        <w:rPr>
          <w:rFonts w:hint="default" w:ascii="方正小标宋简体" w:hAnsi="方正小标宋简体" w:eastAsia="方正小标宋简体" w:cs="方正小标宋简体"/>
          <w:sz w:val="44"/>
          <w:szCs w:val="44"/>
          <w:lang w:eastAsia="zh-CN"/>
        </w:rPr>
        <w:t>（承德市</w:t>
      </w:r>
      <w:r>
        <w:rPr>
          <w:rFonts w:hint="eastAsia" w:ascii="方正小标宋简体" w:hAnsi="方正小标宋简体" w:eastAsia="方正小标宋简体" w:cs="方正小标宋简体"/>
          <w:sz w:val="44"/>
          <w:szCs w:val="44"/>
          <w:lang w:val="en-US" w:eastAsia="zh-CN"/>
        </w:rPr>
        <w:t>）家电、家装、电动自行车以旧换新活动承办</w:t>
      </w:r>
      <w:r>
        <w:rPr>
          <w:rFonts w:hint="default" w:ascii="方正小标宋简体" w:hAnsi="方正小标宋简体" w:eastAsia="方正小标宋简体" w:cs="方正小标宋简体"/>
          <w:sz w:val="44"/>
          <w:szCs w:val="44"/>
          <w:lang w:eastAsia="zh-CN"/>
        </w:rPr>
        <w:t>主体</w:t>
      </w:r>
      <w:r>
        <w:rPr>
          <w:rFonts w:hint="eastAsia" w:ascii="方正小标宋简体" w:hAnsi="方正小标宋简体" w:eastAsia="方正小标宋简体" w:cs="方正小标宋简体"/>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各县（市、区）商务局：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为进一步加大消费品以旧换新活动覆盖面，推进消费品以旧换新工作进度，现面向全市开展第二批2024年河北省（承德市）家电、家装、电动自行车以旧换新活动承办主体的相关工作。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lang w:val="en-US" w:eastAsia="zh-CN"/>
        </w:rPr>
        <w:t>商务主管</w:t>
      </w:r>
      <w:r>
        <w:rPr>
          <w:rFonts w:hint="eastAsia" w:ascii="仿宋_GB2312" w:hAnsi="仿宋_GB2312" w:eastAsia="仿宋_GB2312" w:cs="仿宋_GB2312"/>
          <w:sz w:val="32"/>
          <w:szCs w:val="32"/>
          <w:highlight w:val="none"/>
          <w:lang w:val="en-US" w:eastAsia="zh-CN"/>
        </w:rPr>
        <w:t>部门要按《</w:t>
      </w:r>
      <w:r>
        <w:rPr>
          <w:rFonts w:hint="default" w:ascii="仿宋_GB2312" w:hAnsi="仿宋_GB2312" w:eastAsia="仿宋_GB2312" w:cs="仿宋_GB2312"/>
          <w:sz w:val="32"/>
          <w:szCs w:val="32"/>
          <w:highlight w:val="none"/>
          <w:lang w:eastAsia="zh-CN"/>
        </w:rPr>
        <w:t>2024</w:t>
      </w:r>
      <w:r>
        <w:rPr>
          <w:rFonts w:hint="eastAsia" w:ascii="仿宋_GB2312" w:hAnsi="仿宋_GB2312" w:eastAsia="仿宋_GB2312" w:cs="仿宋_GB2312"/>
          <w:color w:val="000000"/>
          <w:sz w:val="32"/>
          <w:szCs w:val="32"/>
          <w:highlight w:val="none"/>
          <w:u w:val="none"/>
          <w:lang w:val="en-US" w:eastAsia="zh-CN"/>
        </w:rPr>
        <w:t>年第二批</w:t>
      </w:r>
      <w:r>
        <w:rPr>
          <w:rFonts w:hint="default"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市家电、家装、电动自行车以旧换新补贴活动承办</w:t>
      </w:r>
      <w:r>
        <w:rPr>
          <w:rFonts w:hint="default"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申报条件与报名资料清单》（见附件）要求</w:t>
      </w:r>
      <w:r>
        <w:rPr>
          <w:rFonts w:hint="eastAsia" w:ascii="仿宋_GB2312" w:hAnsi="仿宋_GB2312" w:eastAsia="仿宋_GB2312" w:cs="仿宋_GB2312"/>
          <w:sz w:val="32"/>
          <w:szCs w:val="32"/>
          <w:highlight w:val="none"/>
          <w:lang w:val="en-US" w:eastAsia="zh-CN"/>
        </w:rPr>
        <w:t>，积极组织当地</w:t>
      </w:r>
      <w:r>
        <w:rPr>
          <w:rFonts w:hint="eastAsia" w:ascii="仿宋_GB2312" w:hAnsi="仿宋_GB2312" w:eastAsia="仿宋_GB2312" w:cs="仿宋_GB2312"/>
          <w:color w:val="000000"/>
          <w:sz w:val="32"/>
          <w:szCs w:val="32"/>
          <w:highlight w:val="none"/>
          <w:u w:val="none"/>
          <w:lang w:val="en-US" w:eastAsia="zh-CN"/>
        </w:rPr>
        <w:t>家电、</w:t>
      </w:r>
      <w:r>
        <w:rPr>
          <w:rFonts w:hint="eastAsia" w:ascii="仿宋_GB2312" w:hAnsi="仿宋_GB2312" w:eastAsia="仿宋_GB2312" w:cs="仿宋_GB2312"/>
          <w:sz w:val="32"/>
          <w:szCs w:val="32"/>
          <w:highlight w:val="none"/>
          <w:lang w:val="en-US" w:eastAsia="zh-CN"/>
        </w:rPr>
        <w:t>家装、电动自行车销售</w:t>
      </w:r>
      <w:r>
        <w:rPr>
          <w:rFonts w:hint="default"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lang w:val="en-US" w:eastAsia="zh-CN"/>
        </w:rPr>
        <w:t>参与活动并及时组织申报材料</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mailto:请各县级商务主管部门积极组织当地家电家具销售企业参与活动，经初评后推荐至少x家符合条件的家电家具销售企业到市级商务主管部门，于xx月xx日（周x）前将推荐的企业（推荐标准见附件）和企业的承办方案一并发送至市商务局流通业发展和市场秩序科邮箱lfzhgb@126.com。"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，对不符合条件或未按时间要求提交申报材料的，不予纳入本次本批活动承办主体。各</w:t>
      </w:r>
      <w:r>
        <w:rPr>
          <w:rFonts w:hint="default" w:ascii="仿宋_GB2312" w:hAnsi="仿宋_GB2312" w:eastAsia="仿宋_GB2312" w:cs="仿宋_GB2312"/>
          <w:sz w:val="32"/>
          <w:szCs w:val="32"/>
          <w:highlight w:val="none"/>
          <w:lang w:eastAsia="zh-CN"/>
        </w:rPr>
        <w:t>县（市、区）商务主管部门</w:t>
      </w:r>
      <w:r>
        <w:rPr>
          <w:rFonts w:hint="eastAsia" w:ascii="仿宋_GB2312" w:hAnsi="仿宋_GB2312" w:eastAsia="仿宋_GB2312" w:cs="仿宋_GB2312"/>
          <w:sz w:val="32"/>
          <w:szCs w:val="32"/>
          <w:highlight w:val="none"/>
          <w:lang w:eastAsia="zh-CN"/>
        </w:rPr>
        <w:t>要总结第一批申报经验，对申报主体的资质和材料进行严格审核，并出具推荐报告</w:t>
      </w:r>
      <w:r>
        <w:rPr>
          <w:rFonts w:hint="eastAsia" w:ascii="仿宋_GB2312" w:hAnsi="仿宋_GB2312" w:eastAsia="仿宋_GB2312" w:cs="仿宋_GB2312"/>
          <w:sz w:val="32"/>
          <w:szCs w:val="32"/>
          <w:highlight w:val="none"/>
          <w:lang w:val="en-US" w:eastAsia="zh-CN"/>
        </w:rPr>
        <w:t>,同时，要指导拟推荐承办主体填报商品备案表</w:t>
      </w:r>
      <w:bookmarkStart w:id="1" w:name="_GoBack"/>
      <w:bookmarkEnd w:id="1"/>
      <w:r>
        <w:rPr>
          <w:rFonts w:hint="eastAsia" w:ascii="仿宋_GB2312" w:hAnsi="仿宋_GB2312" w:eastAsia="仿宋_GB2312" w:cs="仿宋_GB2312"/>
          <w:sz w:val="32"/>
          <w:szCs w:val="32"/>
          <w:highlight w:val="none"/>
          <w:lang w:eastAsia="zh-CN"/>
        </w:rPr>
        <w:t>。各县（市、区）</w:t>
      </w:r>
      <w:r>
        <w:rPr>
          <w:rFonts w:hint="eastAsia" w:ascii="仿宋_GB2312" w:hAnsi="仿宋_GB2312" w:eastAsia="仿宋_GB2312" w:cs="仿宋_GB2312"/>
          <w:sz w:val="32"/>
          <w:szCs w:val="32"/>
          <w:highlight w:val="none"/>
          <w:lang w:val="en-US" w:eastAsia="zh-CN"/>
        </w:rPr>
        <w:t>于</w:t>
      </w:r>
      <w:r>
        <w:rPr>
          <w:rFonts w:hint="default" w:ascii="仿宋_GB2312" w:hAnsi="仿宋_GB2312" w:eastAsia="仿宋_GB2312" w:cs="仿宋_GB2312"/>
          <w:sz w:val="32"/>
          <w:szCs w:val="32"/>
          <w:highlight w:val="none"/>
          <w:lang w:eastAsia="zh-CN"/>
        </w:rPr>
        <w:t>9</w:t>
      </w:r>
      <w:r>
        <w:rPr>
          <w:rFonts w:hint="eastAsia" w:ascii="仿宋_GB2312" w:hAnsi="仿宋_GB2312" w:eastAsia="仿宋_GB2312" w:cs="仿宋_GB2312"/>
          <w:sz w:val="32"/>
          <w:szCs w:val="32"/>
          <w:highlight w:val="none"/>
          <w:lang w:val="en-US" w:eastAsia="zh-CN"/>
        </w:rPr>
        <w:t>月27日（星期一）12点前将推荐函和承办</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lang w:val="en-US" w:eastAsia="zh-CN"/>
        </w:rPr>
        <w:t>申报材料电子版（一个企业扫描至一个PDF文件内）发送至市商务局流通业发展科邮箱（swjltyfzk@chengde.gov.cn）。</w:t>
      </w:r>
    </w:p>
    <w:p>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pStyle w:val="2"/>
        <w:rPr>
          <w:rFonts w:hint="eastAsia" w:ascii="仿宋_GB2312" w:hAnsi="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附件：</w:t>
      </w:r>
      <w:r>
        <w:rPr>
          <w:rFonts w:hint="eastAsia" w:ascii="仿宋_GB2312" w:hAnsi="仿宋_GB2312" w:eastAsia="仿宋_GB2312" w:cs="仿宋_GB2312"/>
          <w:color w:val="000000"/>
          <w:sz w:val="32"/>
          <w:szCs w:val="32"/>
          <w:highlight w:val="none"/>
          <w:u w:val="none"/>
          <w:lang w:val="en-US" w:eastAsia="zh-CN"/>
        </w:rPr>
        <w:t>2024年</w:t>
      </w:r>
      <w:r>
        <w:rPr>
          <w:rFonts w:hint="eastAsia" w:ascii="仿宋_GB2312" w:hAnsi="仿宋_GB2312" w:cs="仿宋_GB2312"/>
          <w:color w:val="000000"/>
          <w:sz w:val="32"/>
          <w:szCs w:val="32"/>
          <w:highlight w:val="none"/>
          <w:u w:val="none"/>
          <w:lang w:val="en-US" w:eastAsia="zh-CN"/>
        </w:rPr>
        <w:t>第二批</w:t>
      </w:r>
      <w:r>
        <w:rPr>
          <w:rFonts w:hint="eastAsia" w:ascii="仿宋_GB2312" w:hAnsi="仿宋_GB2312" w:eastAsia="仿宋_GB2312" w:cs="仿宋_GB2312"/>
          <w:color w:val="000000"/>
          <w:sz w:val="32"/>
          <w:szCs w:val="32"/>
          <w:highlight w:val="none"/>
          <w:u w:val="none"/>
          <w:lang w:eastAsia="zh-CN"/>
        </w:rPr>
        <w:t>承德</w:t>
      </w:r>
      <w:r>
        <w:rPr>
          <w:rFonts w:hint="eastAsia" w:ascii="仿宋_GB2312" w:hAnsi="仿宋_GB2312" w:eastAsia="仿宋_GB2312" w:cs="仿宋_GB2312"/>
          <w:color w:val="000000"/>
          <w:sz w:val="32"/>
          <w:szCs w:val="32"/>
          <w:highlight w:val="none"/>
          <w:u w:val="none"/>
          <w:lang w:val="en-US" w:eastAsia="zh-CN"/>
        </w:rPr>
        <w:t>市家电、家装、电动自行车以旧换新活动承办</w:t>
      </w:r>
      <w:r>
        <w:rPr>
          <w:rFonts w:hint="eastAsia" w:ascii="仿宋_GB2312" w:hAnsi="仿宋_GB2312" w:eastAsia="仿宋_GB2312" w:cs="仿宋_GB2312"/>
          <w:color w:val="000000"/>
          <w:sz w:val="32"/>
          <w:szCs w:val="32"/>
          <w:highlight w:val="none"/>
          <w:u w:val="none"/>
          <w:lang w:eastAsia="zh-CN"/>
        </w:rPr>
        <w:t>主体</w:t>
      </w:r>
      <w:r>
        <w:rPr>
          <w:rFonts w:hint="eastAsia" w:ascii="仿宋_GB2312" w:hAnsi="仿宋_GB2312" w:eastAsia="仿宋_GB2312" w:cs="仿宋_GB2312"/>
          <w:color w:val="000000"/>
          <w:sz w:val="32"/>
          <w:szCs w:val="32"/>
          <w:highlight w:val="none"/>
          <w:u w:val="none"/>
          <w:lang w:val="en-US" w:eastAsia="zh-CN"/>
        </w:rPr>
        <w:t>申报条件与报名材料清单</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承德市商务局</w:t>
      </w:r>
    </w:p>
    <w:p>
      <w:pPr>
        <w:pStyle w:val="2"/>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2024年9月</w:t>
      </w:r>
      <w:r>
        <w:rPr>
          <w:rFonts w:hint="eastAsia" w:ascii="仿宋_GB2312" w:hAnsi="仿宋_GB2312" w:cs="仿宋_GB2312"/>
          <w:lang w:val="en-US" w:eastAsia="zh-CN"/>
        </w:rPr>
        <w:t>25</w:t>
      </w:r>
      <w:r>
        <w:rPr>
          <w:rFonts w:hint="eastAsia" w:ascii="仿宋_GB2312" w:hAnsi="仿宋_GB2312" w:eastAsia="仿宋_GB2312" w:cs="仿宋_GB2312"/>
          <w:lang w:val="en-US" w:eastAsia="zh-CN"/>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2024年第二批</w:t>
      </w:r>
      <w:r>
        <w:rPr>
          <w:rFonts w:hint="default" w:ascii="方正小标宋简体" w:hAnsi="方正小标宋简体" w:eastAsia="方正小标宋简体" w:cs="方正小标宋简体"/>
          <w:color w:val="000000"/>
          <w:sz w:val="44"/>
          <w:szCs w:val="44"/>
          <w:highlight w:val="none"/>
          <w:u w:val="none"/>
          <w:lang w:eastAsia="zh-CN"/>
        </w:rPr>
        <w:t>承德</w:t>
      </w:r>
      <w:r>
        <w:rPr>
          <w:rFonts w:hint="eastAsia" w:ascii="方正小标宋简体" w:hAnsi="方正小标宋简体" w:eastAsia="方正小标宋简体" w:cs="方正小标宋简体"/>
          <w:color w:val="000000"/>
          <w:sz w:val="44"/>
          <w:szCs w:val="44"/>
          <w:highlight w:val="none"/>
          <w:u w:val="none"/>
          <w:lang w:val="en-US" w:eastAsia="zh-CN"/>
        </w:rPr>
        <w:t>市家电、家装、电动自行车以旧换新活动承办</w:t>
      </w:r>
      <w:r>
        <w:rPr>
          <w:rFonts w:hint="default" w:ascii="方正小标宋简体" w:hAnsi="方正小标宋简体" w:eastAsia="方正小标宋简体" w:cs="方正小标宋简体"/>
          <w:color w:val="000000"/>
          <w:sz w:val="44"/>
          <w:szCs w:val="44"/>
          <w:highlight w:val="none"/>
          <w:u w:val="none"/>
          <w:lang w:eastAsia="zh-CN"/>
        </w:rPr>
        <w:t>主体</w:t>
      </w:r>
      <w:r>
        <w:rPr>
          <w:rFonts w:hint="eastAsia" w:ascii="方正小标宋简体" w:hAnsi="方正小标宋简体" w:eastAsia="方正小标宋简体" w:cs="方正小标宋简体"/>
          <w:color w:val="000000"/>
          <w:sz w:val="44"/>
          <w:szCs w:val="44"/>
          <w:highlight w:val="none"/>
          <w:u w:val="none"/>
          <w:lang w:val="en-US" w:eastAsia="zh-CN"/>
        </w:rPr>
        <w:t>申报条件与报名材料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color w:val="000000"/>
          <w:sz w:val="44"/>
          <w:szCs w:val="44"/>
          <w:highlight w:val="none"/>
          <w:u w:val="none"/>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一、报名时间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2024年9月25日 - 2024年9月27日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二、相关经营主体定义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1.家电类经营主体，系指主营家电销售业务的家电销售企业或销售家电产品的综合性商超。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2.家装产品类经营主体，系指主营成品家具、定制化家具、卫浴洁具、门窗、智能锁、适老化（无障碍）环境改善产品、热交换产品等家装产品的销售企业。</w:t>
      </w:r>
    </w:p>
    <w:p>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bookmarkStart w:id="0" w:name="OLE_LINK1"/>
      <w:r>
        <w:rPr>
          <w:rFonts w:hint="eastAsia" w:ascii="仿宋_GB2312" w:hAnsi="仿宋_GB2312" w:eastAsia="仿宋_GB2312" w:cs="仿宋_GB2312"/>
          <w:sz w:val="32"/>
          <w:szCs w:val="32"/>
          <w:lang w:val="en-US" w:eastAsia="zh-CN"/>
        </w:rPr>
        <w:t>电动自行车类企业</w:t>
      </w:r>
      <w:bookmarkEnd w:id="0"/>
      <w:r>
        <w:rPr>
          <w:rFonts w:hint="eastAsia" w:ascii="仿宋_GB2312" w:hAnsi="仿宋_GB2312" w:cs="仿宋_GB2312"/>
          <w:sz w:val="32"/>
          <w:szCs w:val="32"/>
          <w:lang w:val="en-US" w:eastAsia="zh-CN"/>
        </w:rPr>
        <w:t>，系指主营符合《电动自行车安全技术规范》的电动自行车销售经营主体。（电动自行车是指以蓄电池作为辅助能源，在普通自行车的基础上安装了电机、控制器、蓄电池、转把、闸把等操纵部件和显示仪表系统的交通工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1.依法登记注册，能够开具发票，具备完善的订单管理系统和财务管理机制，具有一定规模、守法经营、经营状况良好的家电、家装产品、电动自行车销售经营主体。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2.具备</w:t>
      </w:r>
      <w:r>
        <w:rPr>
          <w:rFonts w:hint="default" w:ascii="仿宋_GB2312" w:hAnsi="仿宋_GB2312" w:eastAsia="仿宋_GB2312" w:cs="仿宋_GB2312"/>
          <w:color w:val="auto"/>
          <w:sz w:val="32"/>
          <w:szCs w:val="32"/>
          <w:highlight w:val="none"/>
          <w:lang w:eastAsia="zh-CN"/>
        </w:rPr>
        <w:t>以旧换新</w:t>
      </w:r>
      <w:r>
        <w:rPr>
          <w:rFonts w:hint="eastAsia" w:ascii="仿宋_GB2312" w:hAnsi="仿宋_GB2312" w:eastAsia="仿宋_GB2312" w:cs="仿宋_GB2312"/>
          <w:color w:val="auto"/>
          <w:sz w:val="32"/>
          <w:szCs w:val="32"/>
          <w:highlight w:val="none"/>
          <w:lang w:val="en-US" w:eastAsia="zh-CN"/>
        </w:rPr>
        <w:t>活动</w:t>
      </w:r>
      <w:r>
        <w:rPr>
          <w:rFonts w:hint="default"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eastAsia="zh-CN"/>
        </w:rPr>
        <w:t>核销</w:t>
      </w:r>
      <w:r>
        <w:rPr>
          <w:rFonts w:hint="eastAsia" w:ascii="仿宋_GB2312" w:hAnsi="仿宋_GB2312" w:eastAsia="仿宋_GB2312" w:cs="仿宋_GB2312"/>
          <w:color w:val="auto"/>
          <w:sz w:val="32"/>
          <w:szCs w:val="32"/>
          <w:highlight w:val="none"/>
          <w:lang w:val="en-US" w:eastAsia="zh-CN"/>
        </w:rPr>
        <w:t>条件</w:t>
      </w:r>
      <w:r>
        <w:rPr>
          <w:rFonts w:hint="default" w:ascii="仿宋_GB2312" w:hAnsi="仿宋_GB2312" w:eastAsia="仿宋_GB2312" w:cs="仿宋_GB2312"/>
          <w:color w:val="auto"/>
          <w:sz w:val="32"/>
          <w:szCs w:val="32"/>
          <w:highlight w:val="none"/>
          <w:lang w:eastAsia="zh-CN"/>
        </w:rPr>
        <w:t>，与河北省以旧换新信息化平台对接</w:t>
      </w:r>
      <w:r>
        <w:rPr>
          <w:rFonts w:hint="eastAsia" w:ascii="仿宋_GB2312" w:hAnsi="仿宋_GB2312" w:eastAsia="仿宋_GB2312" w:cs="仿宋_GB2312"/>
          <w:color w:val="auto"/>
          <w:sz w:val="32"/>
          <w:szCs w:val="32"/>
          <w:highlight w:val="none"/>
          <w:lang w:val="en-US" w:eastAsia="zh-CN"/>
        </w:rPr>
        <w:t>，上传正确的销售商品型号、价格等相关信息；拥有</w:t>
      </w:r>
      <w:r>
        <w:rPr>
          <w:rFonts w:hint="default" w:ascii="仿宋_GB2312" w:hAnsi="仿宋_GB2312" w:eastAsia="仿宋_GB2312" w:cs="仿宋_GB2312"/>
          <w:color w:val="auto"/>
          <w:sz w:val="32"/>
          <w:szCs w:val="32"/>
          <w:highlight w:val="none"/>
          <w:lang w:eastAsia="zh-CN"/>
        </w:rPr>
        <w:t>完善的后台订单管理系统，实现销售全流程可追溯，</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能够按照</w:t>
      </w:r>
      <w:r>
        <w:rPr>
          <w:rFonts w:hint="default" w:ascii="仿宋_GB2312" w:hAnsi="仿宋_GB2312" w:eastAsia="仿宋_GB2312" w:cs="仿宋_GB2312"/>
          <w:color w:val="auto"/>
          <w:sz w:val="32"/>
          <w:szCs w:val="32"/>
          <w:highlight w:val="none"/>
          <w:lang w:eastAsia="zh-CN"/>
        </w:rPr>
        <w:t>商务主管部门工作要求，</w:t>
      </w:r>
      <w:r>
        <w:rPr>
          <w:rFonts w:hint="default" w:ascii="仿宋_GB2312" w:hAnsi="仿宋_GB2312" w:eastAsia="仿宋_GB2312" w:cs="仿宋_GB2312"/>
          <w:i w:val="0"/>
          <w:caps w:val="0"/>
          <w:color w:val="000000"/>
          <w:spacing w:val="0"/>
          <w:sz w:val="32"/>
          <w:szCs w:val="32"/>
          <w:u w:val="none"/>
          <w:shd w:val="clear" w:color="auto" w:fill="FFFFFF"/>
        </w:rPr>
        <w:t>承诺遵守活动规则</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严格落实各项资金风险防控措施，不为个人用户享受补贴政策增设任何附加条件，自觉抵制套利套现</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default" w:ascii="仿宋_GB2312" w:hAnsi="仿宋_GB2312" w:eastAsia="仿宋_GB2312" w:cs="仿宋_GB2312"/>
          <w:color w:val="auto"/>
          <w:sz w:val="32"/>
          <w:szCs w:val="32"/>
          <w:highlight w:val="none"/>
          <w:lang w:eastAsia="zh-CN"/>
        </w:rPr>
        <w:t>坚决杜绝</w:t>
      </w:r>
      <w:r>
        <w:rPr>
          <w:rFonts w:hint="eastAsia" w:ascii="仿宋_GB2312" w:hAnsi="仿宋_GB2312" w:eastAsia="仿宋_GB2312" w:cs="仿宋_GB2312"/>
          <w:i w:val="0"/>
          <w:caps w:val="0"/>
          <w:color w:val="auto"/>
          <w:spacing w:val="0"/>
          <w:sz w:val="32"/>
          <w:szCs w:val="32"/>
          <w:shd w:val="clear" w:color="auto" w:fill="FFFFFF"/>
        </w:rPr>
        <w:t>防范骗补、套补等行为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责成专人或组建专业团队负责以旧换新工作，</w:t>
      </w:r>
      <w:r>
        <w:rPr>
          <w:rFonts w:hint="default" w:ascii="仿宋_GB2312" w:hAnsi="仿宋_GB2312" w:eastAsia="仿宋_GB2312" w:cs="仿宋_GB2312"/>
          <w:color w:val="auto"/>
          <w:sz w:val="32"/>
          <w:szCs w:val="32"/>
          <w:highlight w:val="none"/>
          <w:lang w:eastAsia="zh-CN"/>
        </w:rPr>
        <w:t>做好活动补贴政策的宣传和讲解，</w:t>
      </w:r>
      <w:r>
        <w:rPr>
          <w:rFonts w:hint="eastAsia" w:ascii="仿宋_GB2312" w:hAnsi="仿宋_GB2312" w:eastAsia="仿宋_GB2312" w:cs="仿宋_GB2312"/>
          <w:color w:val="auto"/>
          <w:sz w:val="32"/>
          <w:szCs w:val="32"/>
          <w:highlight w:val="none"/>
          <w:lang w:val="en-US" w:eastAsia="zh-CN"/>
        </w:rPr>
        <w:t>并协助消费者完成相关信息注册，上传各项补贴申请材料</w:t>
      </w:r>
      <w:r>
        <w:rPr>
          <w:rFonts w:hint="default" w:ascii="仿宋_GB2312" w:hAnsi="仿宋_GB2312" w:eastAsia="仿宋_GB2312" w:cs="仿宋_GB2312"/>
          <w:color w:val="auto"/>
          <w:sz w:val="32"/>
          <w:szCs w:val="32"/>
          <w:highlight w:val="none"/>
          <w:lang w:eastAsia="zh-CN"/>
        </w:rPr>
        <w:t>；具备较强的仓储和配送能力，为消费者提供送货、安装、调试、维修、保养、</w:t>
      </w:r>
      <w:r>
        <w:rPr>
          <w:rFonts w:hint="eastAsia" w:ascii="仿宋_GB2312" w:hAnsi="仿宋_GB2312" w:eastAsia="仿宋_GB2312" w:cs="仿宋_GB2312"/>
          <w:color w:val="auto"/>
          <w:sz w:val="32"/>
          <w:szCs w:val="32"/>
          <w:highlight w:val="none"/>
          <w:lang w:val="en-US" w:eastAsia="zh-CN"/>
        </w:rPr>
        <w:t>上门拆旧及</w:t>
      </w:r>
      <w:r>
        <w:rPr>
          <w:rFonts w:hint="default" w:ascii="仿宋_GB2312" w:hAnsi="仿宋_GB2312" w:eastAsia="仿宋_GB2312" w:cs="仿宋_GB2312"/>
          <w:color w:val="auto"/>
          <w:sz w:val="32"/>
          <w:szCs w:val="32"/>
          <w:highlight w:val="none"/>
          <w:lang w:eastAsia="zh-CN"/>
        </w:rPr>
        <w:t>回收</w:t>
      </w:r>
      <w:r>
        <w:rPr>
          <w:rFonts w:hint="eastAsia" w:ascii="仿宋_GB2312" w:hAnsi="仿宋_GB2312" w:eastAsia="仿宋_GB2312" w:cs="仿宋_GB2312"/>
          <w:color w:val="auto"/>
          <w:sz w:val="32"/>
          <w:szCs w:val="32"/>
          <w:highlight w:val="none"/>
          <w:lang w:val="en-US" w:eastAsia="zh-CN"/>
        </w:rPr>
        <w:t>等</w:t>
      </w:r>
      <w:r>
        <w:rPr>
          <w:rFonts w:hint="default" w:ascii="仿宋_GB2312" w:hAnsi="仿宋_GB2312" w:eastAsia="仿宋_GB2312" w:cs="仿宋_GB2312"/>
          <w:color w:val="auto"/>
          <w:sz w:val="32"/>
          <w:szCs w:val="32"/>
          <w:highlight w:val="none"/>
          <w:lang w:eastAsia="zh-CN"/>
        </w:rPr>
        <w:t>售后服务并保证服务质量；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eastAsia="zh-CN"/>
        </w:rPr>
        <w:t>4.具备补贴垫资能力和及时退回补贴资金能力。</w:t>
      </w:r>
      <w:r>
        <w:rPr>
          <w:rFonts w:hint="eastAsia" w:ascii="仿宋_GB2312" w:hAnsi="仿宋_GB2312" w:eastAsia="仿宋_GB2312" w:cs="仿宋_GB2312"/>
          <w:color w:val="auto"/>
          <w:sz w:val="32"/>
          <w:szCs w:val="32"/>
          <w:highlight w:val="none"/>
          <w:lang w:val="en-US" w:eastAsia="zh-CN"/>
        </w:rPr>
        <w:t>具备</w:t>
      </w:r>
      <w:r>
        <w:rPr>
          <w:rFonts w:hint="default" w:ascii="仿宋_GB2312" w:hAnsi="仿宋_GB2312" w:eastAsia="仿宋_GB2312" w:cs="仿宋_GB2312"/>
          <w:color w:val="auto"/>
          <w:sz w:val="32"/>
          <w:szCs w:val="32"/>
          <w:highlight w:val="none"/>
          <w:lang w:eastAsia="zh-CN"/>
        </w:rPr>
        <w:t>对符合活动条件的销售订单进行补贴资金垫付能力。</w:t>
      </w:r>
      <w:r>
        <w:rPr>
          <w:rFonts w:hint="eastAsia" w:ascii="仿宋_GB2312" w:hAnsi="仿宋_GB2312" w:eastAsia="仿宋_GB2312" w:cs="仿宋_GB2312"/>
          <w:color w:val="auto"/>
          <w:sz w:val="32"/>
          <w:szCs w:val="32"/>
          <w:highlight w:val="none"/>
          <w:lang w:val="en-US" w:eastAsia="zh-CN"/>
        </w:rPr>
        <w:t>活动期间</w:t>
      </w:r>
      <w:r>
        <w:rPr>
          <w:rFonts w:hint="default" w:ascii="仿宋_GB2312" w:hAnsi="仿宋_GB2312" w:eastAsia="仿宋_GB2312" w:cs="仿宋_GB2312"/>
          <w:color w:val="auto"/>
          <w:sz w:val="32"/>
          <w:szCs w:val="32"/>
          <w:highlight w:val="none"/>
          <w:lang w:eastAsia="zh-CN"/>
        </w:rPr>
        <w:t>对退货的补贴商品，能在3个工作日内将所退商品的补贴款退回补贴活动平台资金账户。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5.依规合法经营，信用良好，未被列入国家企业信用信息公示系统中的“严重违法失信企业名单”和国家税务总局“重大税收违法案件信息公布栏”名单；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6.承诺按市场正常价格销售，不得出现设置活动以外门槛、恶意涨价等行为，严把进货关，杜绝假冒伪劣、以次充好、以旧充新的产品进入市场流通。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vertAlign w:val="baseli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i w:val="0"/>
          <w:caps w:val="0"/>
          <w:color w:val="auto"/>
          <w:spacing w:val="0"/>
          <w:sz w:val="32"/>
          <w:szCs w:val="32"/>
          <w:shd w:val="clear" w:color="auto" w:fill="FFFFFF"/>
          <w:vertAlign w:val="baseline"/>
        </w:rPr>
        <w:t>建立完整清晰的活动台账，自愿接受政府相关部门及委派的第三方机构对本次活动进行监督、审计，并同意以审计结果作为补贴申请的最终依据。活动台账应包括但不限于销售发票、消费者购买清单（含消费者姓名、身份证号、联系电话、旧</w:t>
      </w:r>
      <w:r>
        <w:rPr>
          <w:rFonts w:hint="eastAsia" w:ascii="仿宋_GB2312" w:hAnsi="仿宋_GB2312" w:eastAsia="仿宋_GB2312" w:cs="仿宋_GB2312"/>
          <w:i w:val="0"/>
          <w:caps w:val="0"/>
          <w:color w:val="auto"/>
          <w:spacing w:val="0"/>
          <w:sz w:val="32"/>
          <w:szCs w:val="32"/>
          <w:shd w:val="clear" w:color="auto" w:fill="FFFFFF"/>
          <w:vertAlign w:val="baseline"/>
          <w:lang w:val="en-US" w:eastAsia="zh-CN"/>
        </w:rPr>
        <w:t>物</w:t>
      </w:r>
      <w:r>
        <w:rPr>
          <w:rFonts w:hint="eastAsia" w:ascii="仿宋_GB2312" w:hAnsi="仿宋_GB2312" w:eastAsia="仿宋_GB2312" w:cs="仿宋_GB2312"/>
          <w:i w:val="0"/>
          <w:caps w:val="0"/>
          <w:color w:val="auto"/>
          <w:spacing w:val="0"/>
          <w:sz w:val="32"/>
          <w:szCs w:val="32"/>
          <w:shd w:val="clear" w:color="auto" w:fill="FFFFFF"/>
          <w:vertAlign w:val="baseline"/>
        </w:rPr>
        <w:t>信息、购买</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新</w:t>
      </w:r>
      <w:r>
        <w:rPr>
          <w:rFonts w:hint="eastAsia" w:ascii="仿宋_GB2312" w:hAnsi="仿宋_GB2312" w:eastAsia="仿宋_GB2312" w:cs="仿宋_GB2312"/>
          <w:i w:val="0"/>
          <w:caps w:val="0"/>
          <w:color w:val="auto"/>
          <w:spacing w:val="0"/>
          <w:sz w:val="32"/>
          <w:szCs w:val="32"/>
          <w:shd w:val="clear" w:color="auto" w:fill="FFFFFF"/>
          <w:vertAlign w:val="baseline"/>
        </w:rPr>
        <w:t>产品名称及</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编码</w:t>
      </w:r>
      <w:r>
        <w:rPr>
          <w:rFonts w:hint="eastAsia" w:ascii="仿宋_GB2312" w:hAnsi="仿宋_GB2312" w:eastAsia="仿宋_GB2312" w:cs="仿宋_GB2312"/>
          <w:i w:val="0"/>
          <w:caps w:val="0"/>
          <w:color w:val="auto"/>
          <w:spacing w:val="0"/>
          <w:sz w:val="32"/>
          <w:szCs w:val="32"/>
          <w:shd w:val="clear" w:color="auto" w:fill="FFFFFF"/>
          <w:vertAlign w:val="baseline"/>
        </w:rPr>
        <w:t>、销售额及补贴额等），并于活动结束后及时报送至主管部门备案</w:t>
      </w:r>
      <w:r>
        <w:rPr>
          <w:rFonts w:hint="eastAsia" w:ascii="仿宋_GB2312" w:hAnsi="仿宋_GB2312" w:eastAsia="仿宋_GB2312" w:cs="仿宋_GB2312"/>
          <w:i w:val="0"/>
          <w:caps w:val="0"/>
          <w:color w:val="auto"/>
          <w:spacing w:val="0"/>
          <w:sz w:val="32"/>
          <w:szCs w:val="32"/>
          <w:shd w:val="clear" w:color="auto" w:fill="FFFFFF"/>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i w:val="0"/>
          <w:caps w:val="0"/>
          <w:color w:val="auto"/>
          <w:spacing w:val="0"/>
          <w:sz w:val="32"/>
          <w:szCs w:val="32"/>
          <w:shd w:val="clear" w:color="auto" w:fill="FFFFFF"/>
          <w:vertAlign w:val="baseline"/>
          <w:lang w:val="en-US" w:eastAsia="zh-CN"/>
        </w:rPr>
        <w:t>8.</w:t>
      </w:r>
      <w:r>
        <w:rPr>
          <w:rFonts w:hint="eastAsia" w:ascii="仿宋_GB2312" w:hAnsi="仿宋_GB2312" w:eastAsia="仿宋_GB2312" w:cs="仿宋_GB2312"/>
          <w:color w:val="auto"/>
          <w:sz w:val="32"/>
          <w:szCs w:val="32"/>
          <w:highlight w:val="none"/>
          <w:lang w:val="en-US" w:eastAsia="zh-CN"/>
        </w:rPr>
        <w:t>销售企业下设的经营网点可一并参加活动，以该家电销售企业总店名义统一报名，但仍需提供相关合法经营的资质证明，并开具发票。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9.承办企业近三年内无重大违法违规和失信记录。未发生较大及以上生产安全事故。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10.品牌经销代理商，还需提供厂家授权承诺证明材料。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电动自行车类承办主体，还需具备开展以旧换新活动以下条件：①卖场区域安装摄像头；②配备电子秤；③具备符合防火、防爆等安全生产要求的锂离子蓄电池、铅酸蓄电池临时存放点，并配备消防器材；④与具备电池等危（固）废物回收资质企业签订回收协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12.家电类承办企业，年内至少开展一次以旧换新“焕新潮”进社区宣传和促销活动，并做好活动记录。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default" w:ascii="仿宋_GB2312" w:hAnsi="仿宋_GB2312" w:eastAsia="仿宋_GB2312" w:cs="仿宋_GB2312"/>
          <w:b w:val="0"/>
          <w:bCs w:val="0"/>
          <w:color w:val="auto"/>
          <w:kern w:val="2"/>
          <w:sz w:val="32"/>
          <w:szCs w:val="32"/>
          <w:highlight w:val="none"/>
          <w:lang w:val="en-US" w:eastAsia="zh-CN" w:bidi="ar-SA"/>
        </w:rPr>
        <w:t>2024</w:t>
      </w:r>
      <w:r>
        <w:rPr>
          <w:rFonts w:hint="eastAsia" w:ascii="仿宋_GB2312" w:hAnsi="仿宋_GB2312" w:eastAsia="仿宋_GB2312" w:cs="仿宋_GB2312"/>
          <w:b w:val="0"/>
          <w:bCs w:val="0"/>
          <w:color w:val="auto"/>
          <w:kern w:val="2"/>
          <w:sz w:val="32"/>
          <w:szCs w:val="32"/>
          <w:highlight w:val="none"/>
          <w:lang w:val="en-US" w:eastAsia="zh-CN" w:bidi="ar-SA"/>
        </w:rPr>
        <w:t>河北省承德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申请表</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附件1）</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2.</w:t>
      </w:r>
      <w:r>
        <w:rPr>
          <w:rFonts w:hint="default" w:ascii="仿宋_GB2312" w:hAnsi="仿宋_GB2312" w:eastAsia="仿宋_GB2312" w:cs="仿宋_GB2312"/>
          <w:i w:val="0"/>
          <w:caps w:val="0"/>
          <w:color w:val="000000"/>
          <w:spacing w:val="0"/>
          <w:sz w:val="32"/>
          <w:szCs w:val="32"/>
          <w:u w:val="none"/>
          <w:shd w:val="clear" w:color="auto" w:fill="FFFFFF"/>
        </w:rPr>
        <w:t>2024年</w:t>
      </w:r>
      <w:r>
        <w:rPr>
          <w:rFonts w:hint="eastAsia" w:ascii="仿宋_GB2312" w:hAnsi="仿宋_GB2312" w:eastAsia="仿宋_GB2312" w:cs="仿宋_GB2312"/>
          <w:i w:val="0"/>
          <w:caps w:val="0"/>
          <w:color w:val="000000"/>
          <w:spacing w:val="0"/>
          <w:sz w:val="32"/>
          <w:szCs w:val="32"/>
          <w:u w:val="none"/>
          <w:shd w:val="clear" w:color="auto" w:fill="FFFFFF"/>
          <w:lang w:eastAsia="zh-CN"/>
        </w:rPr>
        <w:t>河北省</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承德</w:t>
      </w:r>
      <w:r>
        <w:rPr>
          <w:rFonts w:hint="eastAsia" w:ascii="仿宋_GB2312" w:hAnsi="仿宋_GB2312" w:eastAsia="仿宋_GB2312" w:cs="仿宋_GB2312"/>
          <w:i w:val="0"/>
          <w:caps w:val="0"/>
          <w:color w:val="000000"/>
          <w:spacing w:val="0"/>
          <w:sz w:val="32"/>
          <w:szCs w:val="32"/>
          <w:u w:val="none"/>
          <w:shd w:val="clear" w:color="auto" w:fill="FFFFFF"/>
          <w:lang w:eastAsia="zh-CN"/>
        </w:rPr>
        <w:t>市</w:t>
      </w:r>
      <w:r>
        <w:rPr>
          <w:rFonts w:hint="default" w:ascii="仿宋_GB2312" w:hAnsi="仿宋_GB2312" w:eastAsia="仿宋_GB2312" w:cs="仿宋_GB2312"/>
          <w:i w:val="0"/>
          <w:caps w:val="0"/>
          <w:color w:val="000000"/>
          <w:spacing w:val="0"/>
          <w:sz w:val="32"/>
          <w:szCs w:val="32"/>
          <w:u w:val="none"/>
          <w:shd w:val="clear" w:color="auto" w:fill="FFFFFF"/>
        </w:rPr>
        <w:t>以旧换新</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承办主体</w:t>
      </w:r>
      <w:r>
        <w:rPr>
          <w:rFonts w:hint="default" w:ascii="仿宋_GB2312" w:hAnsi="仿宋_GB2312" w:eastAsia="仿宋_GB2312" w:cs="仿宋_GB2312"/>
          <w:i w:val="0"/>
          <w:caps w:val="0"/>
          <w:color w:val="000000"/>
          <w:spacing w:val="0"/>
          <w:sz w:val="32"/>
          <w:szCs w:val="32"/>
          <w:u w:val="none"/>
          <w:shd w:val="clear" w:color="auto" w:fill="FFFFFF"/>
        </w:rPr>
        <w:t>承诺书</w:t>
      </w:r>
      <w:r>
        <w:rPr>
          <w:rFonts w:hint="eastAsia" w:ascii="仿宋_GB2312" w:hAnsi="仿宋_GB2312" w:eastAsia="仿宋_GB2312" w:cs="仿宋_GB2312"/>
          <w:i w:val="0"/>
          <w:caps w:val="0"/>
          <w:color w:val="000000"/>
          <w:spacing w:val="0"/>
          <w:sz w:val="32"/>
          <w:szCs w:val="32"/>
          <w:u w:val="none"/>
          <w:shd w:val="clear" w:color="auto" w:fill="FFFFFF"/>
          <w:lang w:eastAsia="zh-CN"/>
        </w:rPr>
        <w:t>（</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附件2）</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default"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仿宋_GB2312" w:hAnsi="仿宋_GB2312" w:eastAsia="仿宋_GB2312" w:cs="仿宋_GB2312"/>
          <w:i w:val="0"/>
          <w:caps w:val="0"/>
          <w:color w:val="000000"/>
          <w:spacing w:val="0"/>
          <w:sz w:val="32"/>
          <w:szCs w:val="32"/>
          <w:u w:val="none"/>
          <w:shd w:val="clear" w:color="auto" w:fill="FFFFFF"/>
          <w:lang w:val="en-US" w:eastAsia="zh-CN"/>
        </w:rPr>
        <w:t>3.申报主体门店及下设营业网点信息表（附件3）；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4.申报主体及下设营业网点的</w:t>
      </w:r>
      <w:r>
        <w:rPr>
          <w:rFonts w:hint="eastAsia" w:ascii="仿宋_GB2312" w:hAnsi="仿宋_GB2312" w:eastAsia="仿宋_GB2312" w:cs="仿宋_GB2312"/>
          <w:b w:val="0"/>
          <w:bCs w:val="0"/>
          <w:color w:val="auto"/>
          <w:sz w:val="32"/>
          <w:szCs w:val="32"/>
          <w:highlight w:val="none"/>
          <w:lang w:eastAsia="zh-CN"/>
        </w:rPr>
        <w:t>营业执照、法人身份证复印件；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5.申报主体简介，包括但不限于主体</w:t>
      </w:r>
      <w:r>
        <w:rPr>
          <w:rFonts w:hint="eastAsia" w:ascii="仿宋_GB2312" w:hAnsi="仿宋_GB2312" w:eastAsia="仿宋_GB2312" w:cs="仿宋_GB2312"/>
          <w:b w:val="0"/>
          <w:bCs w:val="0"/>
          <w:color w:val="auto"/>
          <w:sz w:val="32"/>
          <w:szCs w:val="32"/>
          <w:highlight w:val="none"/>
          <w:lang w:eastAsia="zh-CN"/>
        </w:rPr>
        <w:t>的规模、年销售额、销售</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的品牌品类、门店分布范围、</w:t>
      </w:r>
      <w:r>
        <w:rPr>
          <w:rFonts w:hint="eastAsia" w:ascii="仿宋_GB2312" w:hAnsi="仿宋_GB2312" w:eastAsia="仿宋_GB2312" w:cs="仿宋_GB2312"/>
          <w:b w:val="0"/>
          <w:bCs w:val="0"/>
          <w:color w:val="auto"/>
          <w:sz w:val="32"/>
          <w:szCs w:val="32"/>
          <w:highlight w:val="none"/>
          <w:lang w:val="en-US" w:eastAsia="zh-CN"/>
        </w:rPr>
        <w:t>旧物回收能力等。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w:t>
      </w:r>
      <w:r>
        <w:rPr>
          <w:rFonts w:hint="eastAsia" w:ascii="仿宋_GB2312" w:hAnsi="仿宋_GB2312" w:eastAsia="仿宋_GB2312" w:cs="仿宋_GB2312"/>
          <w:b w:val="0"/>
          <w:bCs w:val="0"/>
          <w:color w:val="auto"/>
          <w:sz w:val="32"/>
          <w:szCs w:val="32"/>
          <w:highlight w:val="none"/>
          <w:lang w:eastAsia="zh-CN"/>
        </w:rPr>
        <w:t>承办方案，方案中明确</w:t>
      </w:r>
      <w:r>
        <w:rPr>
          <w:rFonts w:hint="eastAsia" w:ascii="仿宋_GB2312" w:hAnsi="仿宋_GB2312" w:eastAsia="仿宋_GB2312" w:cs="仿宋_GB2312"/>
          <w:b w:val="0"/>
          <w:bCs w:val="0"/>
          <w:color w:val="auto"/>
          <w:sz w:val="32"/>
          <w:szCs w:val="32"/>
          <w:highlight w:val="none"/>
          <w:lang w:val="en-US" w:eastAsia="zh-CN"/>
        </w:rPr>
        <w:t>组件团队情况、叠加优惠让利活动力度、进卖场、进社区等宣传活动安排等。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7.申报主体的信用证明。</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登录并查询</w:t>
      </w:r>
      <w:r>
        <w:rPr>
          <w:rFonts w:hint="eastAsia" w:ascii="仿宋_GB2312" w:hAnsi="仿宋_GB2312" w:eastAsia="仿宋_GB2312" w:cs="仿宋_GB2312"/>
          <w:i w:val="0"/>
          <w:caps w:val="0"/>
          <w:color w:val="000000"/>
          <w:spacing w:val="0"/>
          <w:sz w:val="32"/>
          <w:szCs w:val="32"/>
          <w:u w:val="none"/>
          <w:shd w:val="clear" w:color="auto" w:fill="FFFFFF"/>
        </w:rPr>
        <w:t>“信用中国”网站(www.creditchina.gov.cn)下载的《法人和非法人组织公共信用信息报告》和查询中国政府采购网(www.ccgp.gov.cn)“政府采购严重违法失信行为信息记录”结果的截图</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8.2024年以前注册企业需要提供2023年完税证明；</w:t>
      </w:r>
    </w:p>
    <w:p>
      <w:pPr>
        <w:pStyle w:val="2"/>
        <w:rPr>
          <w:rFonts w:hint="eastAsia" w:eastAsia="仿宋_GB2312"/>
          <w:lang w:val="en-US" w:eastAsia="zh-CN"/>
        </w:rPr>
      </w:pP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32"/>
          <w:lang w:val="en-US" w:eastAsia="zh-CN"/>
        </w:rPr>
        <w:t>电动自行车类承办</w:t>
      </w:r>
      <w:r>
        <w:rPr>
          <w:rFonts w:hint="eastAsia" w:ascii="仿宋_GB2312" w:hAnsi="仿宋_GB2312" w:cs="仿宋_GB2312"/>
          <w:sz w:val="32"/>
          <w:szCs w:val="32"/>
          <w:lang w:val="en-US" w:eastAsia="zh-CN"/>
        </w:rPr>
        <w:t>主体需额外提供：</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i w:val="0"/>
          <w:caps w:val="0"/>
          <w:color w:val="auto"/>
          <w:spacing w:val="0"/>
          <w:sz w:val="32"/>
          <w:szCs w:val="32"/>
          <w:shd w:val="clear" w:color="auto" w:fill="FFFFFF"/>
        </w:rPr>
        <w:t>与电动自行车生产企业有稳定的产销合作关系</w:t>
      </w:r>
      <w:r>
        <w:rPr>
          <w:rFonts w:hint="eastAsia" w:ascii="仿宋_GB2312" w:hAnsi="仿宋_GB2312" w:cs="仿宋_GB2312"/>
          <w:i w:val="0"/>
          <w:caps w:val="0"/>
          <w:color w:val="auto"/>
          <w:spacing w:val="0"/>
          <w:sz w:val="32"/>
          <w:szCs w:val="32"/>
          <w:shd w:val="clear" w:color="auto" w:fill="FFFFFF"/>
          <w:lang w:val="en-US" w:eastAsia="zh-CN"/>
        </w:rPr>
        <w:t>的证明</w:t>
      </w:r>
      <w:r>
        <w:rPr>
          <w:rFonts w:hint="eastAsia" w:ascii="仿宋_GB2312" w:hAnsi="仿宋_GB2312" w:eastAsia="仿宋_GB2312" w:cs="仿宋_GB2312"/>
          <w:i w:val="0"/>
          <w:caps w:val="0"/>
          <w:color w:val="auto"/>
          <w:spacing w:val="0"/>
          <w:sz w:val="32"/>
          <w:szCs w:val="32"/>
          <w:shd w:val="clear" w:color="auto" w:fill="FFFFFF"/>
        </w:rPr>
        <w:t>，品牌经销商需</w:t>
      </w:r>
      <w:r>
        <w:rPr>
          <w:rFonts w:hint="eastAsia" w:ascii="仿宋_GB2312" w:hAnsi="仿宋_GB2312" w:cs="仿宋_GB2312"/>
          <w:i w:val="0"/>
          <w:caps w:val="0"/>
          <w:color w:val="auto"/>
          <w:spacing w:val="0"/>
          <w:sz w:val="32"/>
          <w:szCs w:val="32"/>
          <w:shd w:val="clear" w:color="auto" w:fill="FFFFFF"/>
          <w:lang w:val="en-US" w:eastAsia="zh-CN"/>
        </w:rPr>
        <w:t>提供</w:t>
      </w:r>
      <w:r>
        <w:rPr>
          <w:rFonts w:hint="eastAsia" w:ascii="仿宋_GB2312" w:hAnsi="仿宋_GB2312" w:eastAsia="仿宋_GB2312" w:cs="仿宋_GB2312"/>
          <w:i w:val="0"/>
          <w:caps w:val="0"/>
          <w:color w:val="auto"/>
          <w:spacing w:val="0"/>
          <w:sz w:val="32"/>
          <w:szCs w:val="32"/>
          <w:shd w:val="clear" w:color="auto" w:fill="FFFFFF"/>
        </w:rPr>
        <w:t>品牌企业授权承诺函</w:t>
      </w:r>
      <w:r>
        <w:rPr>
          <w:rFonts w:hint="eastAsia" w:ascii="仿宋_GB2312" w:hAnsi="仿宋_GB2312" w:eastAsia="仿宋_GB2312" w:cs="仿宋_GB2312"/>
          <w:sz w:val="32"/>
          <w:szCs w:val="32"/>
          <w:lang w:val="en-US" w:eastAsia="zh-CN"/>
        </w:rPr>
        <w:t>公安部门授权的新车上牌许可</w:t>
      </w:r>
      <w:r>
        <w:rPr>
          <w:rFonts w:hint="eastAsia" w:ascii="仿宋_GB2312" w:hAnsi="仿宋_GB2312" w:cs="仿宋_GB2312"/>
          <w:sz w:val="32"/>
          <w:szCs w:val="32"/>
          <w:lang w:val="en-US" w:eastAsia="zh-CN"/>
        </w:rPr>
        <w:t>证明</w:t>
      </w:r>
      <w:r>
        <w:rPr>
          <w:rFonts w:hint="eastAsia" w:ascii="仿宋_GB2312" w:hAnsi="仿宋_GB2312" w:eastAsia="仿宋_GB2312" w:cs="仿宋_GB2312"/>
          <w:sz w:val="32"/>
          <w:szCs w:val="32"/>
          <w:lang w:val="en-US" w:eastAsia="zh-CN"/>
        </w:rPr>
        <w:t>②</w:t>
      </w:r>
      <w:r>
        <w:rPr>
          <w:rFonts w:hint="eastAsia" w:ascii="仿宋_GB2312" w:hAnsi="仿宋_GB2312" w:cs="仿宋_GB2312"/>
          <w:sz w:val="32"/>
          <w:szCs w:val="32"/>
          <w:lang w:val="en-US" w:eastAsia="zh-CN"/>
        </w:rPr>
        <w:t>承办主体下设全部销售网点卖场、电池存放、消防设施等区域照片</w:t>
      </w:r>
      <w:r>
        <w:rPr>
          <w:rFonts w:hint="eastAsia" w:ascii="仿宋_GB2312" w:hAnsi="仿宋_GB2312" w:eastAsia="仿宋_GB2312" w:cs="仿宋_GB2312"/>
          <w:sz w:val="32"/>
          <w:szCs w:val="32"/>
          <w:lang w:val="en-US" w:eastAsia="zh-CN"/>
        </w:rPr>
        <w:t>③与具备电池等危（固）废物回收资质企业签订</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回收协议</w:t>
      </w:r>
      <w:r>
        <w:rPr>
          <w:rFonts w:hint="eastAsia" w:ascii="仿宋_GB2312" w:hAnsi="仿宋_GB2312" w:cs="仿宋_GB2312"/>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以上申报材料需要加盖企业公章，电子版（一个申报主体的全部材料扫描至同一PDF文件内）1份，纸质版3份。</w:t>
      </w:r>
    </w:p>
    <w:p>
      <w:pPr>
        <w:pStyle w:val="2"/>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ascii="仿宋_GB2312" w:hAnsi="仿宋_GB2312" w:eastAsia="仿宋_GB2312" w:cs="仿宋_GB2312"/>
          <w:b w:val="0"/>
          <w:bCs w:val="0"/>
          <w:color w:val="auto"/>
          <w:sz w:val="32"/>
          <w:szCs w:val="32"/>
          <w:highlight w:val="none"/>
          <w:lang w:val="en-US" w:eastAsia="zh-CN"/>
        </w:rPr>
      </w:pPr>
    </w:p>
    <w:p>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附件1</w:t>
      </w:r>
    </w:p>
    <w:tbl>
      <w:tblPr>
        <w:tblStyle w:val="4"/>
        <w:tblW w:w="9150" w:type="dxa"/>
        <w:tblInd w:w="-129" w:type="dxa"/>
        <w:tblLayout w:type="fixed"/>
        <w:tblCellMar>
          <w:top w:w="0" w:type="dxa"/>
          <w:left w:w="0" w:type="dxa"/>
          <w:bottom w:w="0" w:type="dxa"/>
          <w:right w:w="0" w:type="dxa"/>
        </w:tblCellMar>
      </w:tblPr>
      <w:tblGrid>
        <w:gridCol w:w="1820"/>
        <w:gridCol w:w="3083"/>
        <w:gridCol w:w="1911"/>
        <w:gridCol w:w="2336"/>
      </w:tblGrid>
      <w:tr>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val="en-US" w:eastAsia="zh-CN"/>
              </w:rPr>
              <w:t>2024承德市以旧换新承办企业</w:t>
            </w:r>
            <w:r>
              <w:rPr>
                <w:rFonts w:hint="eastAsia" w:ascii="方正小标宋简体" w:hAnsi="方正小标宋简体" w:eastAsia="方正小标宋简体" w:cs="方正小标宋简体"/>
                <w:color w:val="000000"/>
                <w:kern w:val="0"/>
                <w:sz w:val="36"/>
                <w:szCs w:val="36"/>
              </w:rPr>
              <w:t>申请表</w:t>
            </w:r>
          </w:p>
        </w:tc>
      </w:tr>
      <w:tr>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tblPrEx>
          <w:tblCellMar>
            <w:top w:w="0" w:type="dxa"/>
            <w:left w:w="0" w:type="dxa"/>
            <w:bottom w:w="0" w:type="dxa"/>
            <w:right w:w="0" w:type="dxa"/>
          </w:tblCellMar>
        </w:tblPrEx>
        <w:trPr>
          <w:trHeight w:val="606" w:hRule="atLeast"/>
        </w:trPr>
        <w:tc>
          <w:tcPr>
            <w:tcW w:w="9150" w:type="dxa"/>
            <w:gridSpan w:val="4"/>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填报日期：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tblPrEx>
          <w:tblCellMar>
            <w:top w:w="0" w:type="dxa"/>
            <w:left w:w="0" w:type="dxa"/>
            <w:bottom w:w="0" w:type="dxa"/>
            <w:right w:w="0" w:type="dxa"/>
          </w:tblCellMar>
        </w:tblPrEx>
        <w:trPr>
          <w:trHeight w:val="1033"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统一社会信用代码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tblPrEx>
          <w:tblCellMar>
            <w:top w:w="0" w:type="dxa"/>
            <w:left w:w="0" w:type="dxa"/>
            <w:bottom w:w="0" w:type="dxa"/>
            <w:right w:w="0" w:type="dxa"/>
          </w:tblCellMar>
        </w:tblPrEx>
        <w:trPr>
          <w:trHeight w:val="86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自营线上平台名称（选填）</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202</w:t>
            </w:r>
            <w:r>
              <w:rPr>
                <w:rFonts w:ascii="宋体" w:hAnsi="宋体" w:cs="宋体"/>
                <w:color w:val="000000"/>
                <w:kern w:val="0"/>
                <w:szCs w:val="21"/>
              </w:rPr>
              <w:t>3</w:t>
            </w:r>
            <w:r>
              <w:rPr>
                <w:rFonts w:hint="eastAsia" w:ascii="宋体" w:hAnsi="宋体" w:cs="宋体"/>
                <w:color w:val="000000"/>
                <w:kern w:val="0"/>
                <w:szCs w:val="21"/>
              </w:rPr>
              <w:t>年企业销售额</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 xml:space="preserve">   万元</w:t>
            </w:r>
          </w:p>
        </w:tc>
      </w:tr>
      <w:tr>
        <w:tblPrEx>
          <w:tblCellMar>
            <w:top w:w="0" w:type="dxa"/>
            <w:left w:w="0" w:type="dxa"/>
            <w:bottom w:w="0" w:type="dxa"/>
            <w:right w:w="0" w:type="dxa"/>
          </w:tblCellMar>
        </w:tblPrEx>
        <w:trPr>
          <w:trHeight w:val="588"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pPr>
            <w:r>
              <w:rPr>
                <w:rFonts w:hint="eastAsia" w:ascii="宋体" w:hAnsi="宋体" w:cs="宋体"/>
                <w:color w:val="000000"/>
                <w:kern w:val="0"/>
                <w:szCs w:val="21"/>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pPr>
          </w:p>
        </w:tc>
      </w:tr>
      <w:tr>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Cs w:val="21"/>
              </w:rPr>
            </w:pPr>
          </w:p>
        </w:tc>
      </w:tr>
      <w:tr>
        <w:tblPrEx>
          <w:tblCellMar>
            <w:top w:w="0" w:type="dxa"/>
            <w:left w:w="0" w:type="dxa"/>
            <w:bottom w:w="0" w:type="dxa"/>
            <w:right w:w="0" w:type="dxa"/>
          </w:tblCellMar>
        </w:tblPrEx>
        <w:trPr>
          <w:trHeight w:val="103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企业结算账户账号</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2485"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    我单位按照</w:t>
            </w:r>
            <w:r>
              <w:rPr>
                <w:rFonts w:hint="eastAsia" w:ascii="宋体" w:hAnsi="宋体" w:cs="宋体"/>
                <w:color w:val="000000"/>
                <w:kern w:val="0"/>
                <w:szCs w:val="21"/>
                <w:lang w:val="en-US" w:eastAsia="zh-CN"/>
              </w:rPr>
              <w:t>2024年河北省承德市以旧换新</w:t>
            </w:r>
            <w:r>
              <w:rPr>
                <w:rFonts w:hint="eastAsia" w:ascii="宋体" w:hAnsi="宋体" w:cs="宋体"/>
                <w:color w:val="000000"/>
                <w:kern w:val="0"/>
                <w:szCs w:val="21"/>
              </w:rPr>
              <w:t>有关规定，保证提供的所有申报数据、材料等信息真实有效，并接受有关部门的监督。</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法定代表人（负责人）签字：</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（企业公章）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年  月  日</w:t>
            </w:r>
          </w:p>
        </w:tc>
      </w:tr>
    </w:tbl>
    <w:p>
      <w:pPr>
        <w:pStyle w:val="2"/>
        <w:ind w:left="0" w:leftChars="0" w:firstLine="0" w:firstLineChars="0"/>
        <w:rPr>
          <w:rFonts w:hint="default" w:ascii="仿宋_GB2312" w:hAnsi="仿宋_GB2312" w:cs="仿宋_GB2312"/>
          <w:sz w:val="32"/>
          <w:szCs w:val="32"/>
          <w:lang w:val="en-US" w:eastAsia="zh-CN"/>
        </w:rPr>
        <w:sectPr>
          <w:pgSz w:w="11906" w:h="16838"/>
          <w:pgMar w:top="2098" w:right="1474" w:bottom="1984" w:left="1587" w:header="851" w:footer="992" w:gutter="0"/>
          <w:cols w:space="720" w:num="1"/>
          <w:docGrid w:type="lines" w:linePitch="312" w:charSpace="0"/>
        </w:sectPr>
      </w:pPr>
    </w:p>
    <w:p>
      <w:pPr>
        <w:pStyle w:val="2"/>
        <w:ind w:left="0" w:leftChars="0" w:firstLine="0" w:firstLineChars="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年以旧换新承办主体</w:t>
      </w:r>
      <w:r>
        <w:rPr>
          <w:rFonts w:hint="eastAsia" w:ascii="方正小标宋简体" w:hAnsi="方正小标宋简体" w:eastAsia="方正小标宋简体" w:cs="方正小标宋简体"/>
          <w:sz w:val="44"/>
          <w:szCs w:val="44"/>
        </w:rPr>
        <w:t>承诺书</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u w:val="single"/>
          <w:lang w:val="en-US" w:eastAsia="zh-CN"/>
        </w:rPr>
        <w:t xml:space="preserve">   (请填写单位名称)  </w:t>
      </w:r>
      <w:r>
        <w:rPr>
          <w:rFonts w:hint="eastAsia" w:ascii="仿宋_GB2312" w:hAnsi="仿宋_GB2312" w:eastAsia="仿宋_GB2312" w:cs="仿宋_GB2312"/>
          <w:sz w:val="32"/>
          <w:szCs w:val="32"/>
        </w:rPr>
        <w:t>申请参加2024年</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lang w:val="en-US" w:eastAsia="zh-CN"/>
        </w:rPr>
        <w:t>承德市</w:t>
      </w:r>
      <w:r>
        <w:rPr>
          <w:rFonts w:hint="eastAsia" w:ascii="仿宋_GB2312" w:hAnsi="仿宋_GB2312" w:eastAsia="仿宋_GB2312" w:cs="仿宋_GB2312"/>
          <w:sz w:val="32"/>
          <w:szCs w:val="32"/>
        </w:rPr>
        <w:t>以旧换</w:t>
      </w:r>
      <w:r>
        <w:rPr>
          <w:rFonts w:hint="eastAsia" w:ascii="仿宋_GB2312" w:hAnsi="仿宋_GB2312" w:eastAsia="仿宋_GB2312" w:cs="仿宋_GB2312"/>
          <w:sz w:val="32"/>
          <w:szCs w:val="32"/>
          <w:lang w:val="en-US" w:eastAsia="zh-CN"/>
        </w:rPr>
        <w:t>新活动</w:t>
      </w:r>
      <w:r>
        <w:rPr>
          <w:rFonts w:hint="eastAsia" w:ascii="仿宋_GB2312" w:hAnsi="仿宋_GB2312" w:eastAsia="仿宋_GB2312" w:cs="仿宋_GB2312"/>
          <w:sz w:val="32"/>
          <w:szCs w:val="32"/>
        </w:rPr>
        <w:t>，并承诺如下: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一、严格遵守活动各项要求，积极参与，如实开展政策宣传，不擅自增设消费者参与活动的附加、限制条件，并</w:t>
      </w:r>
      <w:r>
        <w:rPr>
          <w:rFonts w:hint="eastAsia" w:ascii="仿宋_GB2312" w:hAnsi="仿宋_GB2312" w:eastAsia="仿宋_GB2312" w:cs="仿宋_GB2312"/>
          <w:color w:val="auto"/>
          <w:sz w:val="32"/>
          <w:szCs w:val="32"/>
        </w:rPr>
        <w:t>在营业场所</w:t>
      </w:r>
      <w:r>
        <w:rPr>
          <w:rFonts w:hint="eastAsia" w:ascii="仿宋_GB2312" w:hAnsi="仿宋_GB2312" w:eastAsia="仿宋_GB2312" w:cs="仿宋_GB2312"/>
          <w:color w:val="auto"/>
          <w:sz w:val="32"/>
          <w:szCs w:val="32"/>
          <w:lang w:val="en-US" w:eastAsia="zh-CN"/>
        </w:rPr>
        <w:t>显著位置</w:t>
      </w:r>
      <w:r>
        <w:rPr>
          <w:rFonts w:hint="eastAsia" w:ascii="仿宋_GB2312" w:hAnsi="仿宋_GB2312" w:eastAsia="仿宋_GB2312" w:cs="仿宋_GB2312"/>
          <w:color w:val="auto"/>
          <w:sz w:val="32"/>
          <w:szCs w:val="32"/>
        </w:rPr>
        <w:t>公示咨询投诉电话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认真处理消费者相关咨询、</w:t>
      </w:r>
      <w:r>
        <w:rPr>
          <w:rFonts w:hint="eastAsia" w:ascii="仿宋_GB2312" w:hAnsi="仿宋_GB2312" w:eastAsia="仿宋_GB2312" w:cs="仿宋_GB2312"/>
          <w:color w:val="auto"/>
          <w:sz w:val="32"/>
          <w:szCs w:val="32"/>
        </w:rPr>
        <w:t>投诉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二、本着诚实守信的原则</w:t>
      </w:r>
      <w:r>
        <w:rPr>
          <w:rFonts w:hint="eastAsia" w:ascii="仿宋_GB2312" w:hAnsi="仿宋_GB2312" w:eastAsia="仿宋_GB2312" w:cs="仿宋_GB2312"/>
          <w:color w:val="auto"/>
          <w:sz w:val="32"/>
          <w:szCs w:val="32"/>
          <w:lang w:val="en-US" w:eastAsia="zh-CN"/>
        </w:rPr>
        <w:t>开展以旧换新活动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并如实提供参与门店、商品、销售以及消费信息，</w:t>
      </w:r>
      <w:r>
        <w:rPr>
          <w:rFonts w:hint="eastAsia" w:ascii="仿宋_GB2312" w:hAnsi="仿宋_GB2312" w:eastAsia="仿宋_GB2312" w:cs="仿宋_GB2312"/>
          <w:color w:val="auto"/>
          <w:sz w:val="32"/>
          <w:szCs w:val="32"/>
        </w:rPr>
        <w:t>自愿接受</w:t>
      </w:r>
      <w:r>
        <w:rPr>
          <w:rFonts w:hint="eastAsia" w:ascii="仿宋_GB2312" w:hAnsi="仿宋_GB2312" w:eastAsia="仿宋_GB2312" w:cs="仿宋_GB2312"/>
          <w:color w:val="auto"/>
          <w:sz w:val="32"/>
          <w:szCs w:val="32"/>
          <w:lang w:eastAsia="zh-CN"/>
        </w:rPr>
        <w:t>市县两级商务部门或</w:t>
      </w:r>
      <w:r>
        <w:rPr>
          <w:rFonts w:hint="eastAsia" w:ascii="仿宋_GB2312" w:hAnsi="仿宋_GB2312" w:eastAsia="仿宋_GB2312" w:cs="仿宋_GB2312"/>
          <w:color w:val="auto"/>
          <w:sz w:val="32"/>
          <w:szCs w:val="32"/>
        </w:rPr>
        <w:t>第三方</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对本次活动进行监督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。如发现</w:t>
      </w:r>
      <w:r>
        <w:rPr>
          <w:rFonts w:hint="eastAsia" w:ascii="仿宋_GB2312" w:hAnsi="仿宋_GB2312" w:eastAsia="仿宋_GB2312" w:cs="仿宋_GB2312"/>
          <w:color w:val="auto"/>
          <w:sz w:val="32"/>
          <w:szCs w:val="32"/>
          <w:lang w:val="en-US" w:eastAsia="zh-CN"/>
        </w:rPr>
        <w:t>我方存在</w:t>
      </w:r>
      <w:r>
        <w:rPr>
          <w:rFonts w:hint="eastAsia" w:ascii="仿宋_GB2312" w:hAnsi="仿宋_GB2312" w:eastAsia="仿宋_GB2312" w:cs="仿宋_GB2312"/>
          <w:color w:val="auto"/>
          <w:sz w:val="32"/>
          <w:szCs w:val="32"/>
        </w:rPr>
        <w:t>弄虚作假等</w:t>
      </w:r>
      <w:r>
        <w:rPr>
          <w:rFonts w:hint="eastAsia" w:ascii="仿宋_GB2312" w:hAnsi="仿宋_GB2312" w:eastAsia="仿宋_GB2312" w:cs="仿宋_GB2312"/>
          <w:color w:val="auto"/>
          <w:sz w:val="32"/>
          <w:szCs w:val="32"/>
          <w:lang w:val="en-US" w:eastAsia="zh-CN"/>
        </w:rPr>
        <w:t>违法违规</w:t>
      </w:r>
      <w:r>
        <w:rPr>
          <w:rFonts w:hint="eastAsia" w:ascii="仿宋_GB2312" w:hAnsi="仿宋_GB2312" w:eastAsia="仿宋_GB2312" w:cs="仿宋_GB2312"/>
          <w:color w:val="auto"/>
          <w:sz w:val="32"/>
          <w:szCs w:val="32"/>
        </w:rPr>
        <w:t>行为，愿意按照有关政策</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接受处罚。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eastAsia="仿宋_GB2312" w:cs="仿宋_GB2312"/>
          <w:color w:val="auto"/>
          <w:sz w:val="32"/>
          <w:szCs w:val="32"/>
          <w:lang w:val="en-US" w:eastAsia="zh-CN"/>
        </w:rPr>
        <w:t>三、</w:t>
      </w:r>
      <w:r>
        <w:rPr>
          <w:rFonts w:hint="eastAsia" w:ascii="仿宋_GB2312" w:hAnsi="仿宋_GB2312" w:cs="仿宋_GB2312"/>
        </w:rPr>
        <w:t>全力配合</w:t>
      </w:r>
      <w:r>
        <w:rPr>
          <w:rFonts w:hint="eastAsia" w:ascii="仿宋_GB2312" w:hAnsi="仿宋_GB2312" w:cs="仿宋_GB2312"/>
          <w:lang w:val="en-US" w:eastAsia="zh-CN"/>
        </w:rPr>
        <w:t>政策实施</w:t>
      </w:r>
      <w:r>
        <w:rPr>
          <w:rFonts w:hint="eastAsia" w:ascii="仿宋_GB2312" w:hAnsi="仿宋_GB2312" w:cs="仿宋_GB2312"/>
        </w:rPr>
        <w:t>部门及服务机构</w:t>
      </w:r>
      <w:r>
        <w:rPr>
          <w:rFonts w:hint="eastAsia" w:ascii="仿宋_GB2312" w:hAnsi="仿宋_GB2312" w:cs="仿宋_GB2312"/>
          <w:lang w:eastAsia="zh-CN"/>
        </w:rPr>
        <w:t>实施</w:t>
      </w:r>
      <w:r>
        <w:rPr>
          <w:rFonts w:hint="eastAsia" w:ascii="仿宋_GB2312" w:hAnsi="仿宋_GB2312" w:cs="仿宋_GB2312"/>
        </w:rPr>
        <w:t>相关套利防控措施，严格审核消费者的参与资格，</w:t>
      </w:r>
      <w:r>
        <w:rPr>
          <w:rFonts w:hint="eastAsia" w:ascii="仿宋_GB2312" w:hAnsi="仿宋_GB2312" w:cs="仿宋_GB2312"/>
          <w:lang w:val="en-US" w:eastAsia="zh-CN"/>
        </w:rPr>
        <w:t>采取积极举措</w:t>
      </w:r>
      <w:r>
        <w:rPr>
          <w:rFonts w:hint="eastAsia" w:ascii="仿宋_GB2312" w:hAnsi="仿宋_GB2312" w:cs="仿宋_GB2312"/>
        </w:rPr>
        <w:t>预防并制止“黄牛”等恶意套利行为。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lang w:val="en-US" w:eastAsia="zh-CN"/>
        </w:rPr>
      </w:pPr>
      <w:r>
        <w:rPr>
          <w:rFonts w:hint="eastAsia" w:ascii="仿宋_GB2312" w:hAnsi="仿宋_GB2312" w:cs="仿宋_GB2312"/>
          <w:lang w:val="en-US" w:eastAsia="zh-CN"/>
        </w:rPr>
        <w:t>四、不以已参与以旧换新为由拒绝“七天无理由退货”等消费者合法诉求。但若消费者确需进行退货，能够配合政策实施部门及服务机构做好已享受补贴的清算工作。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五、</w:t>
      </w:r>
      <w:r>
        <w:rPr>
          <w:rFonts w:hint="eastAsia" w:ascii="仿宋_GB2312" w:hAnsi="仿宋_GB2312" w:cs="仿宋_GB2312"/>
        </w:rPr>
        <w:t>指定专人负责处理包括但不限于日常沟通、宣传推广、客户投诉等补贴政策中涉及的各项事宜。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u w:val="single"/>
        </w:rPr>
      </w:pPr>
      <w:r>
        <w:rPr>
          <w:rFonts w:hint="eastAsia" w:ascii="仿宋_GB2312" w:hAnsi="仿宋_GB2312" w:cs="仿宋_GB2312"/>
        </w:rPr>
        <w:t>联 系 人：</w:t>
      </w:r>
      <w:r>
        <w:rPr>
          <w:rFonts w:hint="eastAsia" w:ascii="仿宋_GB2312" w:hAnsi="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lang w:val="en-US" w:eastAsia="zh-CN"/>
        </w:rPr>
        <w:t>已</w:t>
      </w:r>
      <w:r>
        <w:rPr>
          <w:rFonts w:hint="eastAsia" w:ascii="仿宋_GB2312" w:hAnsi="仿宋_GB2312" w:cs="仿宋_GB2312"/>
        </w:rPr>
        <w:t>知晓并同意以上承诺，</w:t>
      </w:r>
      <w:r>
        <w:rPr>
          <w:rFonts w:hint="eastAsia" w:ascii="仿宋_GB2312" w:hAnsi="仿宋_GB2312" w:cs="仿宋_GB2312"/>
          <w:lang w:val="en-US" w:eastAsia="zh-CN"/>
        </w:rPr>
        <w:t>若有违反</w:t>
      </w:r>
      <w:r>
        <w:rPr>
          <w:rFonts w:hint="eastAsia" w:ascii="仿宋_GB2312" w:hAnsi="仿宋_GB2312" w:cs="仿宋_GB2312"/>
        </w:rPr>
        <w:t>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所有门店参与政策的资格,并丧失后续参与补贴政策的资格，且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(1)</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全额退还经政策实施部门和服务机构认定的违约行为所涉补贴政策资金；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(2)</w:t>
      </w:r>
      <w:r>
        <w:rPr>
          <w:rFonts w:hint="eastAsia" w:ascii="仿宋_GB2312" w:hAnsi="仿宋_GB2312" w:cs="仿宋_GB2312"/>
        </w:rPr>
        <w:t>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lang w:val="en-US" w:eastAsia="zh-CN"/>
        </w:rPr>
        <w:t>(3)</w:t>
      </w:r>
      <w:r>
        <w:rPr>
          <w:rFonts w:hint="eastAsia" w:ascii="仿宋_GB2312" w:hAnsi="仿宋_GB2312" w:cs="仿宋_GB2312"/>
        </w:rPr>
        <w:t>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r>
        <w:rPr>
          <w:rFonts w:hint="eastAsia" w:ascii="仿宋_GB2312" w:hAnsi="仿宋_GB2312" w:cs="仿宋_GB2312"/>
        </w:rPr>
        <w:t>特此承诺。</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ascii="仿宋_GB2312" w:hAnsi="仿宋_GB2312" w:cs="仿宋_GB231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cs="仿宋_GB2312"/>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申报主体（盖章）：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200" w:firstLineChars="1000"/>
        <w:jc w:val="both"/>
        <w:textAlignment w:val="auto"/>
        <w:rPr>
          <w:rFonts w:ascii="仿宋_GB2312" w:hAnsi="仿宋_GB2312" w:cs="仿宋_GB2312"/>
        </w:rPr>
      </w:pPr>
      <w:r>
        <w:rPr>
          <w:rFonts w:hint="eastAsia" w:ascii="仿宋_GB2312" w:hAnsi="仿宋_GB2312" w:cs="仿宋_GB2312"/>
          <w:lang w:val="en-US" w:eastAsia="zh-CN"/>
        </w:rPr>
        <w:t>负责人</w:t>
      </w:r>
      <w:r>
        <w:rPr>
          <w:rFonts w:hint="eastAsia" w:ascii="仿宋_GB2312" w:hAnsi="仿宋_GB2312" w:cs="仿宋_GB2312"/>
        </w:rPr>
        <w:t>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eastAsia" w:ascii="仿宋_GB2312" w:hAnsi="仿宋_GB2312" w:cs="仿宋_GB2312"/>
        </w:rPr>
      </w:pPr>
      <w:r>
        <w:rPr>
          <w:rFonts w:hint="eastAsia" w:ascii="仿宋_GB2312" w:hAnsi="仿宋_GB2312" w:cs="仿宋_GB231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right"/>
        <w:textAlignment w:val="auto"/>
        <w:rPr>
          <w:rFonts w:hint="default" w:ascii="仿宋_GB2312" w:hAnsi="仿宋_GB2312" w:cs="仿宋_GB2312"/>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pPr>
        <w:pStyle w:val="2"/>
        <w:rPr>
          <w:rFonts w:hint="eastAsia" w:ascii="仿宋_GB2312" w:hAnsi="仿宋_GB2312" w:eastAsia="仿宋_GB2312" w:cs="仿宋_GB2312"/>
          <w:b w:val="0"/>
          <w:bCs w:val="0"/>
          <w:color w:val="auto"/>
          <w:sz w:val="32"/>
          <w:szCs w:val="32"/>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ascii="仿宋_GB2312" w:hAnsi="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4"/>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50"/>
        <w:gridCol w:w="2021"/>
        <w:gridCol w:w="3054"/>
        <w:gridCol w:w="3312"/>
        <w:gridCol w:w="1525"/>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96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-300355</wp:posOffset>
                      </wp:positionV>
                      <wp:extent cx="675005" cy="381000"/>
                      <wp:effectExtent l="0" t="0" r="10795" b="0"/>
                      <wp:wrapNone/>
                      <wp:docPr id="1" name="文本框 1"/>
                      <wp:cNvGraphicFramePr/>
                      <a:graphic xmlns:a="http://schemas.openxmlformats.org/drawingml/2006/main">
                        <a:graphicData uri="http://schemas.microsoft.com/office/word/2010/wordprocessingShape">
                          <wps:wsp>
                            <wps:cNvSpPr txBox="true"/>
                            <wps:spPr>
                              <a:xfrm>
                                <a:off x="670560" y="892175"/>
                                <a:ext cx="67500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85pt;margin-top:-23.65pt;height:30pt;width:53.15pt;z-index:251659264;mso-width-relative:page;mso-height-relative:page;" fillcolor="#FFFFFF [3201]" filled="t" stroked="f" coordsize="21600,21600" o:gfxdata="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yy21v9QAAAAJ&#10;AQAADwAAAAAAAAABACAAAAA4AAAAZHJzL2Rvd25yZXYueG1sUEsBAhQAFAAAAAgAh07iQDbeSMpD&#10;AgAAXAQAAA4AAAAAAAAAAQAgAAAAOQEAAGRycy9lMm9Eb2MueG1sUEsFBgAAAAAGAAYAWQEAAO4F&#10;AAAAAA==&#10;">
                      <v:fill on="t" focussize="0,0"/>
                      <v:stroke on="f" weight="0.5pt"/>
                      <v:imagedata o:title=""/>
                      <o:lock v:ext="edit" aspectratio="f"/>
                      <v:textbox>
                        <w:txbxContent>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txbxContent>
                      </v:textbox>
                    </v:shape>
                  </w:pict>
                </mc:Fallback>
              </mc:AlternateContent>
            </w:r>
            <w:r>
              <w:rPr>
                <w:rFonts w:hint="eastAsia" w:ascii="宋体" w:hAnsi="宋体" w:eastAsia="宋体" w:cs="宋体"/>
                <w:b/>
                <w:bCs/>
                <w:i w:val="0"/>
                <w:iCs w:val="0"/>
                <w:color w:val="000000"/>
                <w:kern w:val="0"/>
                <w:sz w:val="36"/>
                <w:szCs w:val="36"/>
                <w:u w:val="none"/>
                <w:lang w:val="en-US" w:eastAsia="zh-CN" w:bidi="ar"/>
              </w:rPr>
              <w:t>2024年</w:t>
            </w:r>
            <w:r>
              <w:rPr>
                <w:rFonts w:hint="eastAsia" w:ascii="宋体" w:hAnsi="宋体" w:cs="宋体"/>
                <w:b/>
                <w:bCs/>
                <w:i w:val="0"/>
                <w:iCs w:val="0"/>
                <w:color w:val="000000"/>
                <w:kern w:val="0"/>
                <w:sz w:val="36"/>
                <w:szCs w:val="36"/>
                <w:u w:val="none"/>
                <w:lang w:val="en-US" w:eastAsia="zh-CN" w:bidi="ar"/>
              </w:rPr>
              <w:t>承德市以旧换新活动</w:t>
            </w:r>
            <w:r>
              <w:rPr>
                <w:rFonts w:hint="eastAsia" w:ascii="宋体" w:hAnsi="宋体" w:eastAsia="宋体" w:cs="宋体"/>
                <w:b/>
                <w:bCs/>
                <w:i w:val="0"/>
                <w:iCs w:val="0"/>
                <w:color w:val="000000"/>
                <w:kern w:val="0"/>
                <w:sz w:val="36"/>
                <w:szCs w:val="36"/>
                <w:u w:val="none"/>
                <w:lang w:val="en-US" w:eastAsia="zh-CN" w:bidi="ar"/>
              </w:rPr>
              <w:t>申报主体门店及下设营业网点信息表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销售品类</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申报主体名称</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营业门店、网点</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门店、网点地址</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门店联系人及联系电话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门店咨询电话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4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家电</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电动自行车</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OWU2YTQ4OWIxYmI0MjViYzE0MWRlMzBiYWJkNTAifQ=="/>
  </w:docVars>
  <w:rsids>
    <w:rsidRoot w:val="721D0A51"/>
    <w:rsid w:val="13EE5355"/>
    <w:rsid w:val="36F9513F"/>
    <w:rsid w:val="3DCD0941"/>
    <w:rsid w:val="3F35797B"/>
    <w:rsid w:val="4457239D"/>
    <w:rsid w:val="5ABC3575"/>
    <w:rsid w:val="5E4C19C5"/>
    <w:rsid w:val="721D0A51"/>
    <w:rsid w:val="B7FFC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3165</Words>
  <Characters>3324</Characters>
  <Lines>0</Lines>
  <Paragraphs>0</Paragraphs>
  <TotalTime>44</TotalTime>
  <ScaleCrop>false</ScaleCrop>
  <LinksUpToDate>false</LinksUpToDate>
  <CharactersWithSpaces>3629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2024-09-01T15:56:00Z</dcterms:created>
  <dc:creator>Dell</dc:creator>
  <cp:lastModifiedBy>user01</cp:lastModifiedBy>
  <cp:lastPrinted>2024-09-07T01:15:00Z</cp:lastPrinted>
  <dcterms:modified xsi:type="dcterms:W3CDTF">2024-09-25T17:03:10Z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A3BBDDC0EB9241A49B37B8CDDCB9CD6D_11</vt:lpwstr>
  </property>
</Properties>
</file>