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7 -->
  <w:body>
    <w:p w14:paraId="5548564D">
      <w:pPr>
        <w:keepNext w:val="0"/>
        <w:keepLines w:val="0"/>
        <w:widowControl/>
        <w:suppressLineNumbers w:val="0"/>
        <w:jc w:val="center"/>
      </w:pPr>
      <w:bookmarkStart w:id="0" w:name="_GoBack"/>
      <w:bookmarkEnd w:id="0"/>
      <w:r>
        <w:rPr>
          <w:rFonts w:ascii="宋体" w:hAnsi="宋体" w:cs="宋体" w:hint="eastAsia"/>
          <w:b w:val="0"/>
          <w:bCs/>
          <w:i w:val="0"/>
          <w:caps w:val="0"/>
          <w:color w:val="000000"/>
          <w:spacing w:val="0"/>
          <w:kern w:val="0"/>
          <w:sz w:val="44"/>
          <w:szCs w:val="44"/>
          <w:shd w:val="clear" w:color="auto" w:fill="FFFFFF"/>
          <w:lang w:val="en-US" w:eastAsia="zh-CN" w:bidi="ar"/>
        </w:rPr>
        <w:t>双桥区</w:t>
      </w:r>
      <w:r>
        <w:rPr>
          <w:rFonts w:ascii="宋体" w:eastAsia="宋体" w:hAnsi="宋体" w:cs="宋体" w:hint="eastAsia"/>
          <w:b w:val="0"/>
          <w:bCs/>
          <w:i w:val="0"/>
          <w:caps w:val="0"/>
          <w:color w:val="000000"/>
          <w:spacing w:val="0"/>
          <w:kern w:val="0"/>
          <w:sz w:val="44"/>
          <w:szCs w:val="44"/>
          <w:shd w:val="clear" w:color="auto" w:fill="FFFFFF"/>
          <w:lang w:val="en-US" w:eastAsia="zh-CN" w:bidi="ar"/>
        </w:rPr>
        <w:t>行政审批局重大执法决定法制审核事项清单</w:t>
      </w:r>
    </w:p>
    <w:p w14:paraId="4803ACA4">
      <w:pPr>
        <w:keepNext w:val="0"/>
        <w:keepLines w:val="0"/>
        <w:widowControl/>
        <w:suppressLineNumbers w:val="0"/>
        <w:jc w:val="left"/>
        <w:rPr>
          <w:rFonts w:ascii="宋体" w:eastAsia="宋体" w:hAnsi="宋体" w:cs="宋体" w:hint="eastAsia"/>
          <w:i w:val="0"/>
          <w:caps w:val="0"/>
          <w:color w:val="000000"/>
          <w:spacing w:val="0"/>
          <w:kern w:val="0"/>
          <w:sz w:val="27"/>
          <w:szCs w:val="27"/>
          <w:shd w:val="clear" w:color="auto" w:fill="FFFFFF"/>
          <w:lang w:val="en-US" w:eastAsia="zh-CN" w:bidi="ar"/>
        </w:rPr>
      </w:pPr>
    </w:p>
    <w:tbl>
      <w:tblPr>
        <w:tblStyle w:val="TableGrid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5471"/>
      </w:tblGrid>
      <w:tr w14:paraId="2088E46A"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top"/>
          </w:tcPr>
          <w:p w14:paraId="20A96CE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eastAsia="宋体" w:hAnsi="宋体" w:cs="宋体" w:hint="eastAsia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color="auto" w:fill="FFFFFF"/>
                <w:lang w:val="en-US" w:eastAsia="zh-CN" w:bidi="ar"/>
              </w:rPr>
              <w:t>序号</w:t>
            </w:r>
          </w:p>
          <w:p w14:paraId="01621CF8">
            <w:pPr>
              <w:rPr>
                <w:vertAlign w:val="baseline"/>
              </w:rPr>
            </w:pPr>
          </w:p>
        </w:tc>
        <w:tc>
          <w:tcPr>
            <w:tcW w:w="1420" w:type="dxa"/>
            <w:noWrap w:val="0"/>
            <w:vAlign w:val="top"/>
          </w:tcPr>
          <w:p w14:paraId="0B1D05D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eastAsia="宋体" w:hAnsi="宋体" w:cs="宋体" w:hint="eastAsia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color="auto" w:fill="FFFFFF"/>
                <w:lang w:val="en-US" w:eastAsia="zh-CN" w:bidi="ar"/>
              </w:rPr>
              <w:t>执法类别</w:t>
            </w:r>
          </w:p>
          <w:p w14:paraId="2929A99B">
            <w:pPr>
              <w:rPr>
                <w:vertAlign w:val="baseline"/>
              </w:rPr>
            </w:pPr>
          </w:p>
        </w:tc>
        <w:tc>
          <w:tcPr>
            <w:tcW w:w="5471" w:type="dxa"/>
            <w:noWrap w:val="0"/>
            <w:vAlign w:val="top"/>
          </w:tcPr>
          <w:p w14:paraId="5CC513AD">
            <w:pPr>
              <w:keepNext w:val="0"/>
              <w:keepLines w:val="0"/>
              <w:widowControl/>
              <w:suppressLineNumbers w:val="0"/>
              <w:ind w:firstLine="1890" w:firstLineChars="700"/>
              <w:jc w:val="left"/>
            </w:pPr>
            <w:r>
              <w:rPr>
                <w:rFonts w:ascii="宋体" w:eastAsia="宋体" w:hAnsi="宋体" w:cs="宋体" w:hint="eastAsia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color="auto" w:fill="FFFFFF"/>
                <w:lang w:val="en-US" w:eastAsia="zh-CN" w:bidi="ar"/>
              </w:rPr>
              <w:t>审核事项</w:t>
            </w:r>
          </w:p>
          <w:p w14:paraId="1E4663E9">
            <w:pPr>
              <w:rPr>
                <w:vertAlign w:val="baseline"/>
              </w:rPr>
            </w:pPr>
          </w:p>
        </w:tc>
      </w:tr>
      <w:tr w14:paraId="41B22CA3"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9"/>
        </w:trPr>
        <w:tc>
          <w:tcPr>
            <w:tcW w:w="1420" w:type="dxa"/>
            <w:noWrap w:val="0"/>
            <w:vAlign w:val="top"/>
          </w:tcPr>
          <w:p w14:paraId="3B85D08F">
            <w:pPr>
              <w:rPr>
                <w:rFonts w:hint="eastAsia"/>
                <w:vertAlign w:val="baseline"/>
                <w:lang w:val="en-US" w:eastAsia="zh-CN"/>
              </w:rPr>
            </w:pPr>
          </w:p>
          <w:p w14:paraId="1F3BFE6E">
            <w:pPr>
              <w:rPr>
                <w:rFonts w:hint="eastAsia"/>
                <w:vertAlign w:val="baseline"/>
                <w:lang w:val="en-US" w:eastAsia="zh-CN"/>
              </w:rPr>
            </w:pPr>
          </w:p>
          <w:p w14:paraId="5AB0E12F">
            <w:pPr>
              <w:rPr>
                <w:rFonts w:hint="eastAsia"/>
                <w:vertAlign w:val="baseline"/>
                <w:lang w:val="en-US" w:eastAsia="zh-CN"/>
              </w:rPr>
            </w:pPr>
          </w:p>
          <w:p w14:paraId="1D86F41A">
            <w:pPr>
              <w:rPr>
                <w:rFonts w:eastAsia="宋体"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420" w:type="dxa"/>
            <w:vMerge w:val="restart"/>
            <w:noWrap w:val="0"/>
            <w:vAlign w:val="top"/>
          </w:tcPr>
          <w:p w14:paraId="74FDC3EE"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eastAsia="宋体" w:hAnsi="宋体" w:cs="宋体" w:hint="eastAsia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color="auto" w:fill="FFFFFF"/>
                <w:lang w:val="en-US" w:eastAsia="zh-CN" w:bidi="ar"/>
              </w:rPr>
            </w:pPr>
          </w:p>
          <w:p w14:paraId="651B973A"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eastAsia="宋体" w:hAnsi="宋体" w:cs="宋体" w:hint="eastAsia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color="auto" w:fill="FFFFFF"/>
                <w:lang w:val="en-US" w:eastAsia="zh-CN" w:bidi="ar"/>
              </w:rPr>
            </w:pPr>
          </w:p>
          <w:p w14:paraId="76C758AB"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eastAsia="宋体" w:hAnsi="宋体" w:cs="宋体" w:hint="eastAsia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color="auto" w:fill="FFFFFF"/>
                <w:lang w:val="en-US" w:eastAsia="zh-CN" w:bidi="ar"/>
              </w:rPr>
            </w:pPr>
          </w:p>
          <w:p w14:paraId="26F02E7A"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eastAsia="宋体" w:hAnsi="宋体" w:cs="宋体" w:hint="eastAsia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color="auto" w:fill="FFFFFF"/>
                <w:lang w:val="en-US" w:eastAsia="zh-CN" w:bidi="ar"/>
              </w:rPr>
            </w:pPr>
          </w:p>
          <w:p w14:paraId="3A6AA934"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eastAsia="宋体" w:hAnsi="宋体" w:cs="宋体" w:hint="eastAsia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color="auto" w:fill="FFFFFF"/>
                <w:lang w:val="en-US" w:eastAsia="zh-CN" w:bidi="ar"/>
              </w:rPr>
            </w:pPr>
          </w:p>
          <w:p w14:paraId="63A9AEC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eastAsia="宋体" w:hAnsi="宋体" w:cs="宋体" w:hint="eastAsia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color="auto" w:fill="FFFFFF"/>
                <w:lang w:val="en-US" w:eastAsia="zh-CN" w:bidi="ar"/>
              </w:rPr>
              <w:t>行政许可</w:t>
            </w:r>
          </w:p>
          <w:p w14:paraId="4362641E">
            <w:pPr>
              <w:rPr>
                <w:rFonts w:ascii="Calibri" w:eastAsia="宋体" w:hAnsi="Calibri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5471" w:type="dxa"/>
            <w:noWrap w:val="0"/>
            <w:vAlign w:val="top"/>
          </w:tcPr>
          <w:p w14:paraId="209CE56B">
            <w:pPr>
              <w:keepNext w:val="0"/>
              <w:keepLines w:val="0"/>
              <w:widowControl/>
              <w:suppressLineNumbers w:val="0"/>
              <w:jc w:val="left"/>
              <w:rPr>
                <w:vertAlign w:val="baseline"/>
              </w:rPr>
            </w:pPr>
            <w:r>
              <w:rPr>
                <w:rFonts w:ascii="宋体" w:eastAsia="宋体" w:hAnsi="宋体" w:cs="宋体" w:hint="eastAsia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color="auto" w:fill="FFFFFF"/>
                <w:lang w:val="en-US" w:eastAsia="zh-CN" w:bidi="ar"/>
              </w:rPr>
              <w:t>拟作出不予受理、不予许可、不予变更、不予延续、撤销、及其他重大行政许可决定的事项</w:t>
            </w:r>
          </w:p>
        </w:tc>
      </w:tr>
      <w:tr w14:paraId="3E1A078D"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top"/>
          </w:tcPr>
          <w:p w14:paraId="5B837342">
            <w:pPr>
              <w:rPr>
                <w:rFonts w:hint="eastAsia"/>
                <w:vertAlign w:val="baseline"/>
                <w:lang w:val="en-US" w:eastAsia="zh-CN"/>
              </w:rPr>
            </w:pPr>
          </w:p>
          <w:p w14:paraId="7CD64C21">
            <w:pPr>
              <w:rPr>
                <w:rFonts w:hint="eastAsia"/>
                <w:vertAlign w:val="baseline"/>
                <w:lang w:val="en-US" w:eastAsia="zh-CN"/>
              </w:rPr>
            </w:pPr>
          </w:p>
          <w:p w14:paraId="50352A95">
            <w:pPr>
              <w:rPr>
                <w:rFonts w:eastAsia="宋体"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420" w:type="dxa"/>
            <w:vMerge/>
            <w:noWrap w:val="0"/>
            <w:vAlign w:val="top"/>
          </w:tcPr>
          <w:p w14:paraId="7B506622">
            <w:pPr>
              <w:rPr>
                <w:vertAlign w:val="baseline"/>
              </w:rPr>
            </w:pPr>
          </w:p>
        </w:tc>
        <w:tc>
          <w:tcPr>
            <w:tcW w:w="5471" w:type="dxa"/>
            <w:noWrap w:val="0"/>
            <w:vAlign w:val="top"/>
          </w:tcPr>
          <w:p w14:paraId="03B5356D">
            <w:pPr>
              <w:keepNext w:val="0"/>
              <w:keepLines w:val="0"/>
              <w:widowControl/>
              <w:suppressLineNumbers w:val="0"/>
              <w:jc w:val="left"/>
              <w:rPr>
                <w:vertAlign w:val="baseline"/>
              </w:rPr>
            </w:pPr>
            <w:r>
              <w:rPr>
                <w:rFonts w:ascii="宋体" w:eastAsia="宋体" w:hAnsi="宋体" w:cs="宋体" w:hint="eastAsia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color="auto" w:fill="FFFFFF"/>
                <w:lang w:val="en-US" w:eastAsia="zh-CN" w:bidi="ar"/>
              </w:rPr>
              <w:t>可能造成重大社会影响或引发社会风险的事项</w:t>
            </w:r>
          </w:p>
        </w:tc>
      </w:tr>
      <w:tr w14:paraId="66C31460"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top"/>
          </w:tcPr>
          <w:p w14:paraId="49A36C3E">
            <w:pPr>
              <w:rPr>
                <w:rFonts w:hint="eastAsia"/>
                <w:vertAlign w:val="baseline"/>
                <w:lang w:val="en-US" w:eastAsia="zh-CN"/>
              </w:rPr>
            </w:pPr>
          </w:p>
          <w:p w14:paraId="00A96DD6">
            <w:pPr>
              <w:rPr>
                <w:rFonts w:hint="eastAsia"/>
                <w:vertAlign w:val="baseline"/>
                <w:lang w:val="en-US" w:eastAsia="zh-CN"/>
              </w:rPr>
            </w:pPr>
          </w:p>
          <w:p w14:paraId="2471006F">
            <w:pPr>
              <w:rPr>
                <w:rFonts w:eastAsia="宋体"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420" w:type="dxa"/>
            <w:vMerge/>
            <w:noWrap w:val="0"/>
            <w:vAlign w:val="top"/>
          </w:tcPr>
          <w:p w14:paraId="076144A6">
            <w:pPr>
              <w:rPr>
                <w:vertAlign w:val="baseline"/>
              </w:rPr>
            </w:pPr>
          </w:p>
        </w:tc>
        <w:tc>
          <w:tcPr>
            <w:tcW w:w="5471" w:type="dxa"/>
            <w:noWrap w:val="0"/>
            <w:vAlign w:val="top"/>
          </w:tcPr>
          <w:p w14:paraId="170C7C1E">
            <w:pPr>
              <w:keepNext w:val="0"/>
              <w:keepLines w:val="0"/>
              <w:widowControl/>
              <w:suppressLineNumbers w:val="0"/>
              <w:jc w:val="left"/>
              <w:rPr>
                <w:vertAlign w:val="baseline"/>
              </w:rPr>
            </w:pPr>
            <w:r>
              <w:rPr>
                <w:rFonts w:ascii="宋体" w:eastAsia="宋体" w:hAnsi="宋体" w:cs="宋体" w:hint="eastAsia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color="auto" w:fill="FFFFFF"/>
                <w:lang w:val="en-US" w:eastAsia="zh-CN" w:bidi="ar"/>
              </w:rPr>
              <w:t>直接关系行政管理相对人或他人重大权益的事项</w:t>
            </w:r>
          </w:p>
        </w:tc>
      </w:tr>
      <w:tr w14:paraId="015A8C0B"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top"/>
          </w:tcPr>
          <w:p w14:paraId="24C99E6C">
            <w:pPr>
              <w:rPr>
                <w:rFonts w:hint="eastAsia"/>
                <w:vertAlign w:val="baseline"/>
                <w:lang w:val="en-US" w:eastAsia="zh-CN"/>
              </w:rPr>
            </w:pPr>
          </w:p>
          <w:p w14:paraId="317E9A2A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1420" w:type="dxa"/>
            <w:vMerge/>
            <w:noWrap w:val="0"/>
            <w:vAlign w:val="top"/>
          </w:tcPr>
          <w:p w14:paraId="11079EC0">
            <w:pPr>
              <w:rPr>
                <w:rFonts w:ascii="Calibri" w:eastAsia="宋体" w:hAnsi="Calibri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5471" w:type="dxa"/>
            <w:noWrap w:val="0"/>
            <w:vAlign w:val="top"/>
          </w:tcPr>
          <w:p w14:paraId="2F020865">
            <w:pPr>
              <w:keepNext w:val="0"/>
              <w:keepLines w:val="0"/>
              <w:widowControl/>
              <w:suppressLineNumbers w:val="0"/>
              <w:jc w:val="left"/>
              <w:rPr>
                <w:vertAlign w:val="baseline"/>
              </w:rPr>
            </w:pPr>
            <w:r>
              <w:rPr>
                <w:rFonts w:ascii="宋体" w:eastAsia="宋体" w:hAnsi="宋体" w:cs="宋体" w:hint="eastAsia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color="auto" w:fill="FFFFFF"/>
                <w:lang w:val="en-US" w:eastAsia="zh-CN" w:bidi="ar"/>
              </w:rPr>
              <w:t>需经听证程序作出行政执法决定的事项</w:t>
            </w:r>
          </w:p>
        </w:tc>
      </w:tr>
      <w:tr w14:paraId="7B8BEBB0"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top"/>
          </w:tcPr>
          <w:p w14:paraId="4526C419">
            <w:pPr>
              <w:rPr>
                <w:rFonts w:hint="eastAsia"/>
                <w:vertAlign w:val="baseline"/>
                <w:lang w:val="en-US" w:eastAsia="zh-CN"/>
              </w:rPr>
            </w:pPr>
          </w:p>
          <w:p w14:paraId="523FDCB7">
            <w:pPr>
              <w:rPr>
                <w:rFonts w:hint="eastAsia"/>
                <w:vertAlign w:val="baseline"/>
                <w:lang w:val="en-US" w:eastAsia="zh-CN"/>
              </w:rPr>
            </w:pPr>
          </w:p>
          <w:p w14:paraId="293570BD">
            <w:pPr>
              <w:rPr>
                <w:rFonts w:eastAsia="宋体"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1420" w:type="dxa"/>
            <w:vMerge/>
            <w:noWrap w:val="0"/>
            <w:vAlign w:val="top"/>
          </w:tcPr>
          <w:p w14:paraId="3176801F">
            <w:pPr>
              <w:rPr>
                <w:rFonts w:ascii="Calibri" w:eastAsia="宋体" w:hAnsi="Calibri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5471" w:type="dxa"/>
            <w:noWrap w:val="0"/>
            <w:vAlign w:val="top"/>
          </w:tcPr>
          <w:p w14:paraId="13C5D5A0">
            <w:pPr>
              <w:keepNext w:val="0"/>
              <w:keepLines w:val="0"/>
              <w:widowControl/>
              <w:suppressLineNumbers w:val="0"/>
              <w:jc w:val="left"/>
              <w:rPr>
                <w:vertAlign w:val="baseline"/>
              </w:rPr>
            </w:pPr>
            <w:r>
              <w:rPr>
                <w:rFonts w:ascii="宋体" w:eastAsia="宋体" w:hAnsi="宋体" w:cs="宋体" w:hint="eastAsia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color="auto" w:fill="FFFFFF"/>
                <w:lang w:val="en-US" w:eastAsia="zh-CN" w:bidi="ar"/>
              </w:rPr>
              <w:t>案件情况疑难复杂，涉及多个法律关系的事项</w:t>
            </w:r>
          </w:p>
        </w:tc>
      </w:tr>
      <w:tr w14:paraId="584BDC34"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top"/>
          </w:tcPr>
          <w:p w14:paraId="3D38D85D">
            <w:pPr>
              <w:rPr>
                <w:rFonts w:hint="eastAsia"/>
                <w:vertAlign w:val="baseline"/>
                <w:lang w:val="en-US" w:eastAsia="zh-CN"/>
              </w:rPr>
            </w:pPr>
          </w:p>
          <w:p w14:paraId="11C26241">
            <w:pPr>
              <w:rPr>
                <w:rFonts w:hint="eastAsia"/>
                <w:vertAlign w:val="baseline"/>
                <w:lang w:val="en-US" w:eastAsia="zh-CN"/>
              </w:rPr>
            </w:pPr>
          </w:p>
          <w:p w14:paraId="337397AB">
            <w:pPr>
              <w:rPr>
                <w:rFonts w:eastAsia="宋体"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1420" w:type="dxa"/>
            <w:vMerge/>
            <w:noWrap w:val="0"/>
            <w:vAlign w:val="top"/>
          </w:tcPr>
          <w:p w14:paraId="1982B3A4">
            <w:pPr>
              <w:rPr>
                <w:vertAlign w:val="baseline"/>
              </w:rPr>
            </w:pPr>
          </w:p>
        </w:tc>
        <w:tc>
          <w:tcPr>
            <w:tcW w:w="5471" w:type="dxa"/>
            <w:noWrap w:val="0"/>
            <w:vAlign w:val="top"/>
          </w:tcPr>
          <w:p w14:paraId="2C006BDE">
            <w:pPr>
              <w:keepNext w:val="0"/>
              <w:keepLines w:val="0"/>
              <w:widowControl/>
              <w:suppressLineNumbers w:val="0"/>
              <w:jc w:val="left"/>
              <w:rPr>
                <w:vertAlign w:val="baseline"/>
              </w:rPr>
            </w:pPr>
            <w:r>
              <w:rPr>
                <w:rFonts w:ascii="宋体" w:eastAsia="宋体" w:hAnsi="宋体" w:cs="宋体" w:hint="eastAsia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shd w:val="clear" w:color="auto" w:fill="FFFFFF"/>
                <w:lang w:val="en-US" w:eastAsia="zh-CN" w:bidi="ar"/>
              </w:rPr>
              <w:t>其他法律、法规、规章规定应当进行法制审核的事项</w:t>
            </w:r>
          </w:p>
        </w:tc>
      </w:tr>
    </w:tbl>
    <w:p w14:paraId="0F6FDC8C"/>
    <w:sectPr>
      <w:pgSz w:w="11906" w:h="16838"/>
      <w:pgMar w:top="1440" w:right="1800" w:bottom="1440" w:left="1800" w:header="851" w:footer="992" w:gutter="0"/>
      <w:cols w:num="1" w:space="72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E1D7C55D"/>
    <w:rsid w:val="E1D7C55D"/>
    <w:rsid w:val="2A3F7AC6"/>
    <w:rsid w:val="2FEB7542"/>
    <w:rsid w:val="46FD2AE6"/>
    <w:rsid w:val="4EC504D7"/>
  </w:rsids>
  <w:docVars>
    <w:docVar w:name="commondata" w:val="eyJoZGlkIjoiNmU4MTMxMTk2NzcxZDVlZmU5MTdiOTkzY2NjM2Q3MGUifQ=="/>
  </w:docVar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 w:qFormat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 w:qFormat="1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 w:qFormat="1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semiHidden/>
    <w:qFormat/>
  </w:style>
  <w:style w:type="table" w:default="1" w:styleId="TableNormal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183</Words>
  <Characters>183</Characters>
  <Application>Microsoft Office Word</Application>
  <DocSecurity>0</DocSecurity>
  <Lines>0</Lines>
  <Paragraphs>0</Paragraphs>
  <ScaleCrop>false</ScaleCrop>
  <Company/>
  <LinksUpToDate>false</LinksUpToDate>
  <CharactersWithSpaces>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uos</dc:creator>
  <cp:lastModifiedBy>Administrator</cp:lastModifiedBy>
  <cp:revision>1</cp:revision>
  <dcterms:created xsi:type="dcterms:W3CDTF">2020-05-12T17:52:00Z</dcterms:created>
  <dcterms:modified xsi:type="dcterms:W3CDTF">2024-09-18T03:36:40Z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A9504ED79B9B426D9AE547106AD4DBC3_13</vt:lpwstr>
  </property>
  <property fmtid="{D5CDD505-2E9C-101B-9397-08002B2CF9AE}" pid="3" name="KSOProductBuildVer">
    <vt:lpwstr>2052-12.1.0.18240</vt:lpwstr>
  </property>
</Properties>
</file>