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533AE6" w:rsidRPr="00AF1487" w:rsidP="00533AE6">
      <w:pPr>
        <w:jc w:val="center"/>
        <w:rPr>
          <w:rFonts w:asciiTheme="minorEastAsia" w:eastAsiaTheme="minorEastAsia" w:hAnsiTheme="minorEastAsia" w:hint="eastAsia"/>
          <w:b/>
          <w:bCs/>
          <w:sz w:val="44"/>
          <w:szCs w:val="44"/>
        </w:rPr>
      </w:pPr>
      <w:r w:rsidRPr="00AF1487">
        <w:rPr>
          <w:rFonts w:asciiTheme="minorEastAsia" w:eastAsiaTheme="minorEastAsia" w:hAnsiTheme="minorEastAsia" w:hint="eastAsia"/>
          <w:b/>
          <w:sz w:val="44"/>
          <w:szCs w:val="44"/>
        </w:rPr>
        <w:t>承德市双桥区土地收购储备中心</w:t>
      </w:r>
    </w:p>
    <w:p w:rsidR="009645B2" w:rsidRPr="00AF1487" w:rsidP="00533AE6">
      <w:pPr>
        <w:jc w:val="center"/>
        <w:rPr>
          <w:rFonts w:asciiTheme="minorEastAsia" w:eastAsiaTheme="minorEastAsia" w:hAnsiTheme="minorEastAsia" w:hint="eastAsia"/>
          <w:b/>
          <w:bCs/>
          <w:sz w:val="44"/>
          <w:szCs w:val="44"/>
        </w:rPr>
      </w:pPr>
      <w:r w:rsidRPr="00AF1487">
        <w:rPr>
          <w:rFonts w:asciiTheme="minorEastAsia" w:eastAsiaTheme="minorEastAsia" w:hAnsiTheme="minorEastAsia" w:hint="eastAsia"/>
          <w:b/>
          <w:bCs/>
          <w:sz w:val="44"/>
          <w:szCs w:val="44"/>
        </w:rPr>
        <w:t>关于2019年度项目绩效评价报告和评价表</w:t>
      </w:r>
    </w:p>
    <w:p w:rsidR="00533AE6" w:rsidRPr="00E22350" w:rsidP="00533AE6">
      <w:pPr>
        <w:jc w:val="center"/>
        <w:rPr>
          <w:rFonts w:ascii="仿宋_GB2312" w:eastAsia="仿宋_GB2312" w:hAnsi="宋体" w:hint="eastAsia"/>
          <w:b/>
          <w:bCs/>
          <w:sz w:val="44"/>
          <w:szCs w:val="44"/>
        </w:rPr>
      </w:pPr>
    </w:p>
    <w:p w:rsidR="009645B2" w:rsidRPr="00E22350">
      <w:pPr>
        <w:rPr>
          <w:rFonts w:ascii="仿宋_GB2312" w:eastAsia="仿宋_GB2312" w:hAnsiTheme="minorEastAsia" w:cstheme="minorEastAsia" w:hint="eastAsia"/>
          <w:sz w:val="32"/>
          <w:szCs w:val="32"/>
        </w:rPr>
      </w:pPr>
      <w:r w:rsidRPr="00E22350">
        <w:rPr>
          <w:rFonts w:ascii="仿宋_GB2312" w:eastAsia="仿宋_GB2312" w:hAnsiTheme="minorEastAsia" w:cstheme="minorEastAsia" w:hint="eastAsia"/>
          <w:sz w:val="32"/>
          <w:szCs w:val="32"/>
        </w:rPr>
        <w:t>双桥区财政局：</w:t>
      </w:r>
    </w:p>
    <w:p w:rsidR="009645B2" w:rsidRPr="00E22350">
      <w:pPr>
        <w:ind w:firstLine="640" w:firstLineChars="200"/>
        <w:jc w:val="left"/>
        <w:rPr>
          <w:rFonts w:ascii="仿宋_GB2312" w:eastAsia="仿宋_GB2312" w:hAnsiTheme="minorEastAsia" w:cstheme="minorEastAsia" w:hint="eastAsia"/>
          <w:sz w:val="32"/>
          <w:szCs w:val="32"/>
        </w:rPr>
      </w:pPr>
      <w:r w:rsidRPr="00E22350">
        <w:rPr>
          <w:rFonts w:ascii="仿宋_GB2312" w:eastAsia="仿宋_GB2312" w:hAnsiTheme="minorEastAsia" w:cstheme="minorEastAsia" w:hint="eastAsia"/>
          <w:sz w:val="32"/>
          <w:szCs w:val="32"/>
        </w:rPr>
        <w:t>根据区财政局相关通知，双桥</w:t>
      </w:r>
      <w:r w:rsidRPr="00E22350" w:rsidR="00411178">
        <w:rPr>
          <w:rFonts w:ascii="仿宋_GB2312" w:eastAsia="仿宋_GB2312" w:hAnsiTheme="minorEastAsia" w:cstheme="minorEastAsia" w:hint="eastAsia"/>
          <w:sz w:val="32"/>
          <w:szCs w:val="32"/>
        </w:rPr>
        <w:t>区</w:t>
      </w:r>
      <w:r w:rsidRPr="00E22350" w:rsidR="00533AE6">
        <w:rPr>
          <w:rFonts w:ascii="仿宋_GB2312" w:eastAsia="仿宋_GB2312" w:hAnsiTheme="minorEastAsia" w:cstheme="minorEastAsia" w:hint="eastAsia"/>
          <w:sz w:val="32"/>
          <w:szCs w:val="32"/>
        </w:rPr>
        <w:t>土储中心</w:t>
      </w:r>
      <w:r w:rsidRPr="00E22350">
        <w:rPr>
          <w:rFonts w:ascii="仿宋_GB2312" w:eastAsia="仿宋_GB2312" w:hAnsiTheme="minorEastAsia" w:cstheme="minorEastAsia" w:hint="eastAsia"/>
          <w:sz w:val="32"/>
          <w:szCs w:val="32"/>
        </w:rPr>
        <w:t>2019年度项目实际支出绩效评价报告和评价表公布如下 ：</w:t>
      </w:r>
    </w:p>
    <w:p w:rsidR="009645B2" w:rsidRPr="00E22350">
      <w:pPr>
        <w:widowControl/>
        <w:shd w:val="clear" w:color="auto" w:fill="FFFFFF"/>
        <w:wordWrap w:val="0"/>
        <w:spacing w:line="100" w:lineRule="atLeast"/>
        <w:ind w:firstLine="640" w:firstLineChars="200"/>
        <w:jc w:val="left"/>
        <w:rPr>
          <w:rFonts w:ascii="仿宋_GB2312" w:eastAsia="仿宋_GB2312" w:hAnsi="宋体" w:cs="宋体" w:hint="eastAsia"/>
          <w:b/>
          <w:bCs/>
          <w:kern w:val="0"/>
          <w:sz w:val="32"/>
          <w:szCs w:val="32"/>
        </w:rPr>
      </w:pPr>
      <w:r w:rsidRPr="00E22350">
        <w:rPr>
          <w:rFonts w:ascii="仿宋_GB2312" w:eastAsia="仿宋_GB2312" w:hAnsi="宋体" w:cs="宋体" w:hint="eastAsia"/>
          <w:b/>
          <w:bCs/>
          <w:kern w:val="0"/>
          <w:sz w:val="32"/>
          <w:szCs w:val="32"/>
        </w:rPr>
        <w:t xml:space="preserve"> 一、绩效自评工作组织开展情况</w:t>
      </w:r>
    </w:p>
    <w:p w:rsidR="009645B2" w:rsidRPr="00E22350" w:rsidP="00BB60C1">
      <w:pPr>
        <w:spacing w:line="100" w:lineRule="atLeast"/>
        <w:ind w:left="420" w:firstLine="320" w:leftChars="200" w:firstLineChars="100"/>
        <w:rPr>
          <w:rFonts w:ascii="仿宋_GB2312" w:eastAsia="仿宋_GB2312" w:hAnsi="宋体" w:cs="宋体" w:hint="eastAsia"/>
          <w:b/>
          <w:bCs/>
          <w:sz w:val="32"/>
          <w:szCs w:val="32"/>
        </w:rPr>
      </w:pPr>
      <w:r w:rsidRPr="00E22350">
        <w:rPr>
          <w:rFonts w:ascii="仿宋_GB2312" w:eastAsia="仿宋_GB2312" w:hAnsi="宋体" w:cs="宋体" w:hint="eastAsia"/>
          <w:b/>
          <w:bCs/>
          <w:sz w:val="32"/>
          <w:szCs w:val="32"/>
        </w:rPr>
        <w:t>机构设置及部门职责</w:t>
      </w:r>
    </w:p>
    <w:p w:rsidR="00DD3FAB" w:rsidRPr="00E22350" w:rsidP="00DD3FAB">
      <w:pPr>
        <w:spacing w:line="560" w:lineRule="exact"/>
        <w:ind w:firstLine="640" w:firstLineChars="200"/>
        <w:rPr>
          <w:rFonts w:ascii="仿宋_GB2312" w:eastAsia="仿宋_GB2312" w:hAnsi="宋体" w:cs="宋体" w:hint="eastAsia"/>
          <w:b/>
          <w:bCs/>
          <w:sz w:val="32"/>
          <w:szCs w:val="32"/>
        </w:rPr>
      </w:pPr>
      <w:r w:rsidRPr="00E22350">
        <w:rPr>
          <w:rFonts w:ascii="仿宋_GB2312" w:eastAsia="仿宋_GB2312" w:hint="eastAsia"/>
          <w:sz w:val="32"/>
          <w:szCs w:val="32"/>
        </w:rPr>
        <w:t>双桥区土地收购储备中心为区政府管理的事业单位，机构规格为科级，经费形式为全额拨款。中心全额事业编制11名。其中：主任1名（正科级），副主任2名（副科级），股级职数5名，非领导职数3名。</w:t>
      </w:r>
    </w:p>
    <w:p w:rsidR="00DD3FAB" w:rsidRPr="00E22350" w:rsidP="00DD3FAB">
      <w:pPr>
        <w:spacing w:line="560" w:lineRule="exact"/>
        <w:ind w:firstLine="640" w:firstLineChars="200"/>
        <w:rPr>
          <w:rFonts w:ascii="仿宋_GB2312" w:eastAsia="仿宋_GB2312" w:cs="宋体" w:hint="eastAsia"/>
          <w:b/>
          <w:bCs/>
          <w:sz w:val="32"/>
          <w:szCs w:val="32"/>
        </w:rPr>
      </w:pPr>
      <w:r w:rsidRPr="00E22350">
        <w:rPr>
          <w:rFonts w:ascii="仿宋_GB2312" w:eastAsia="仿宋_GB2312" w:hAnsi="宋体" w:cs="宋体" w:hint="eastAsia"/>
          <w:b/>
          <w:bCs/>
          <w:sz w:val="32"/>
          <w:szCs w:val="32"/>
        </w:rPr>
        <w:t>部门职责</w:t>
      </w:r>
      <w:r w:rsidRPr="00E22350">
        <w:rPr>
          <w:rFonts w:ascii="仿宋_GB2312" w:eastAsia="仿宋_GB2312" w:cs="宋体" w:hint="eastAsia"/>
          <w:b/>
          <w:bCs/>
          <w:sz w:val="32"/>
          <w:szCs w:val="32"/>
        </w:rPr>
        <w:t>：</w:t>
      </w:r>
      <w:r w:rsidRPr="00E22350">
        <w:rPr>
          <w:rFonts w:ascii="仿宋_GB2312" w:eastAsia="仿宋_GB2312" w:cs="仿宋_GB2312" w:hint="eastAsia"/>
          <w:sz w:val="32"/>
          <w:szCs w:val="32"/>
        </w:rPr>
        <w:t>根据承市机编[2009]1号文件精神，负责贯彻执行国家有关土地管理法律法规，依据国土资源部《土地储备管理办法》和《土地储备资金财务管理办法》，在全市土地储备规划和年度计划下，实施集体土地收购储备工作；依法核定土地收储、开发成本、会同镇、村做好被征收土地补偿工作。区土地收购储备中心完成储备土地后，纳入市土地供应计划，由市土地储备交易中心统一进行招、拍、挂出让。</w:t>
      </w:r>
    </w:p>
    <w:p w:rsidR="00DD3FAB" w:rsidRPr="00E22350" w:rsidP="00DD3FAB">
      <w:pPr>
        <w:spacing w:line="360" w:lineRule="auto"/>
        <w:ind w:firstLine="640" w:firstLineChars="200"/>
        <w:jc w:val="left"/>
        <w:rPr>
          <w:rFonts w:ascii="仿宋_GB2312" w:eastAsia="仿宋_GB2312" w:hint="eastAsia"/>
          <w:sz w:val="32"/>
          <w:szCs w:val="32"/>
        </w:rPr>
      </w:pPr>
      <w:r w:rsidRPr="00E22350">
        <w:rPr>
          <w:rFonts w:ascii="仿宋_GB2312" w:eastAsia="仿宋_GB2312" w:hint="eastAsia"/>
          <w:sz w:val="32"/>
          <w:szCs w:val="32"/>
        </w:rPr>
        <w:t>根据上述职责，双桥区土地收购储备中心设置4个机构：</w:t>
      </w:r>
    </w:p>
    <w:p w:rsidR="00DD3FAB" w:rsidRPr="00E22350" w:rsidP="00DD3FAB">
      <w:pPr>
        <w:spacing w:line="360" w:lineRule="auto"/>
        <w:ind w:firstLine="640" w:firstLineChars="200"/>
        <w:jc w:val="left"/>
        <w:rPr>
          <w:rFonts w:ascii="仿宋_GB2312" w:eastAsia="仿宋_GB2312" w:hint="eastAsia"/>
          <w:sz w:val="32"/>
          <w:szCs w:val="32"/>
        </w:rPr>
      </w:pPr>
      <w:r w:rsidRPr="00E22350">
        <w:rPr>
          <w:rFonts w:ascii="仿宋_GB2312" w:eastAsia="仿宋_GB2312" w:hint="eastAsia"/>
          <w:sz w:val="32"/>
          <w:szCs w:val="32"/>
        </w:rPr>
        <w:t>1.办公室</w:t>
      </w:r>
    </w:p>
    <w:p w:rsidR="00DD3FAB" w:rsidRPr="00E22350" w:rsidP="00DD3FAB">
      <w:pPr>
        <w:spacing w:line="360" w:lineRule="auto"/>
        <w:ind w:firstLine="640" w:firstLineChars="200"/>
        <w:jc w:val="left"/>
        <w:rPr>
          <w:rFonts w:ascii="仿宋_GB2312" w:eastAsia="仿宋_GB2312" w:hint="eastAsia"/>
          <w:sz w:val="32"/>
          <w:szCs w:val="32"/>
        </w:rPr>
      </w:pPr>
      <w:r w:rsidRPr="00E22350">
        <w:rPr>
          <w:rFonts w:ascii="仿宋_GB2312" w:eastAsia="仿宋_GB2312" w:hint="eastAsia"/>
          <w:sz w:val="32"/>
          <w:szCs w:val="32"/>
        </w:rPr>
        <w:t>负责中心综合协调，督查督办、经费支出审核、融资、</w:t>
      </w:r>
      <w:r w:rsidRPr="00E22350">
        <w:rPr>
          <w:rFonts w:ascii="仿宋_GB2312" w:eastAsia="仿宋_GB2312" w:hint="eastAsia"/>
          <w:sz w:val="32"/>
          <w:szCs w:val="32"/>
        </w:rPr>
        <w:t>综合性会议的组织、文秘、目标管理、政务信息、档案、信访、起草并落实好职责范围内应急预案工作、接待、后勤保障和社会治安综合治理等工作。</w:t>
      </w:r>
    </w:p>
    <w:p w:rsidR="00DD3FAB" w:rsidRPr="00E22350" w:rsidP="00DD3FAB">
      <w:pPr>
        <w:spacing w:line="360" w:lineRule="auto"/>
        <w:ind w:firstLine="640" w:firstLineChars="200"/>
        <w:jc w:val="left"/>
        <w:rPr>
          <w:rFonts w:ascii="仿宋_GB2312" w:eastAsia="仿宋_GB2312" w:hint="eastAsia"/>
          <w:sz w:val="32"/>
          <w:szCs w:val="32"/>
        </w:rPr>
      </w:pPr>
      <w:r w:rsidRPr="00E22350">
        <w:rPr>
          <w:rFonts w:ascii="仿宋_GB2312" w:eastAsia="仿宋_GB2312" w:hint="eastAsia"/>
          <w:sz w:val="32"/>
          <w:szCs w:val="32"/>
        </w:rPr>
        <w:t>2.土地收储股</w:t>
      </w:r>
    </w:p>
    <w:p w:rsidR="00DD3FAB" w:rsidRPr="00E22350" w:rsidP="00DD3FAB">
      <w:pPr>
        <w:spacing w:line="360" w:lineRule="auto"/>
        <w:ind w:firstLine="640" w:firstLineChars="200"/>
        <w:jc w:val="left"/>
        <w:rPr>
          <w:rFonts w:ascii="仿宋_GB2312" w:eastAsia="仿宋_GB2312" w:hint="eastAsia"/>
          <w:sz w:val="32"/>
          <w:szCs w:val="32"/>
        </w:rPr>
      </w:pPr>
      <w:r w:rsidRPr="00E22350">
        <w:rPr>
          <w:rFonts w:ascii="仿宋_GB2312" w:eastAsia="仿宋_GB2312" w:hint="eastAsia"/>
          <w:sz w:val="32"/>
          <w:szCs w:val="32"/>
        </w:rPr>
        <w:t>负责双桥区范围内的土地收购储备工作。做好土地收储中的前期公告、组织协调有关部门进行勘察摸底、土地测量、权属、地类确认，协助评估业务管理股做好附着物登统确认等工作。协助镇村做好征地补偿款的发放工作；协助财务做好预征地、征地相关费用的测算，及时与中心财务沟通收储土地成本构成情况；配合国土部门做好建设用地上报审批工作；做好收储土地的拟供地发函、组卷等工作。</w:t>
      </w:r>
    </w:p>
    <w:p w:rsidR="00DD3FAB" w:rsidRPr="00E22350" w:rsidP="00DD3FAB">
      <w:pPr>
        <w:spacing w:line="360" w:lineRule="auto"/>
        <w:ind w:firstLine="640" w:firstLineChars="200"/>
        <w:jc w:val="left"/>
        <w:rPr>
          <w:rFonts w:ascii="仿宋_GB2312" w:eastAsia="仿宋_GB2312" w:hint="eastAsia"/>
          <w:sz w:val="32"/>
          <w:szCs w:val="32"/>
        </w:rPr>
      </w:pPr>
      <w:r w:rsidRPr="00E22350">
        <w:rPr>
          <w:rFonts w:ascii="仿宋_GB2312" w:eastAsia="仿宋_GB2312" w:hint="eastAsia"/>
          <w:sz w:val="32"/>
          <w:szCs w:val="32"/>
        </w:rPr>
        <w:t>3.财务股</w:t>
      </w:r>
    </w:p>
    <w:p w:rsidR="00DD3FAB" w:rsidRPr="00E22350" w:rsidP="00DD3FAB">
      <w:pPr>
        <w:spacing w:line="360" w:lineRule="auto"/>
        <w:ind w:firstLine="640" w:firstLineChars="200"/>
        <w:jc w:val="left"/>
        <w:rPr>
          <w:rFonts w:ascii="仿宋_GB2312" w:eastAsia="仿宋_GB2312" w:hint="eastAsia"/>
          <w:sz w:val="32"/>
          <w:szCs w:val="32"/>
        </w:rPr>
      </w:pPr>
      <w:r w:rsidRPr="00E22350">
        <w:rPr>
          <w:rFonts w:ascii="仿宋_GB2312" w:eastAsia="仿宋_GB2312" w:hint="eastAsia"/>
          <w:sz w:val="32"/>
          <w:szCs w:val="32"/>
        </w:rPr>
        <w:t>认真贯彻执行各级财经法规和会计制度；研究并落实好土地财务政策；正确及时办理财务业务，做到日清月结；正确编报财务预算、决算；做好财务档案归档保管工作；加强政策学习，结合本股业务职责，及时提出合理化建议；根据规划条件和有关政策，做好具备供地条件的地块成本核算；准确核算预征地、征地相关费用，对于支付的各项费用，分清渠道准确核算，及时准确做好垫付成本费用的收回工作。</w:t>
      </w:r>
    </w:p>
    <w:p w:rsidR="00DD3FAB" w:rsidRPr="00E22350" w:rsidP="00DD3FAB">
      <w:pPr>
        <w:spacing w:line="360" w:lineRule="auto"/>
        <w:ind w:firstLine="640" w:firstLineChars="200"/>
        <w:jc w:val="left"/>
        <w:rPr>
          <w:rFonts w:ascii="仿宋_GB2312" w:eastAsia="仿宋_GB2312" w:hint="eastAsia"/>
          <w:sz w:val="32"/>
          <w:szCs w:val="32"/>
        </w:rPr>
      </w:pPr>
      <w:r w:rsidRPr="00E22350">
        <w:rPr>
          <w:rFonts w:ascii="仿宋_GB2312" w:eastAsia="仿宋_GB2312" w:hint="eastAsia"/>
          <w:sz w:val="32"/>
          <w:szCs w:val="32"/>
        </w:rPr>
        <w:t>4.评估业务管理股</w:t>
      </w:r>
    </w:p>
    <w:p w:rsidR="00DD3FAB" w:rsidRPr="00E22350" w:rsidP="00DD3FAB">
      <w:pPr>
        <w:spacing w:line="100" w:lineRule="atLeast"/>
        <w:rPr>
          <w:rFonts w:ascii="仿宋_GB2312" w:eastAsia="仿宋_GB2312" w:hint="eastAsia"/>
          <w:sz w:val="32"/>
          <w:szCs w:val="32"/>
        </w:rPr>
      </w:pPr>
      <w:r w:rsidRPr="00E22350">
        <w:rPr>
          <w:rFonts w:ascii="仿宋_GB2312" w:eastAsia="仿宋_GB2312" w:hint="eastAsia"/>
          <w:sz w:val="32"/>
          <w:szCs w:val="32"/>
        </w:rPr>
        <w:t>负责委托有资质的中介机构并协助其认真做好收储土地、城中村改造等项目的附着物的登统确认、一级开发过程中开</w:t>
      </w:r>
      <w:r w:rsidRPr="00E22350">
        <w:rPr>
          <w:rFonts w:ascii="仿宋_GB2312" w:eastAsia="仿宋_GB2312" w:hint="eastAsia"/>
          <w:sz w:val="32"/>
          <w:szCs w:val="32"/>
        </w:rPr>
        <w:t>山、平整土地等项目的工程造价估算工作，使评估、工程造价估算结果做到客观公正，做好评估风险预防工作；负责拟供地块中的林地征占审批、组卷等工作。</w:t>
      </w:r>
    </w:p>
    <w:p w:rsidR="009645B2" w:rsidRPr="00E22350" w:rsidP="00DD3FAB">
      <w:pPr>
        <w:spacing w:line="100" w:lineRule="atLeast"/>
        <w:ind w:firstLine="640" w:firstLineChars="200"/>
        <w:rPr>
          <w:rFonts w:ascii="仿宋_GB2312" w:eastAsia="仿宋_GB2312" w:hAnsi="宋体" w:cs="宋体" w:hint="eastAsia"/>
          <w:b/>
          <w:bCs/>
          <w:sz w:val="32"/>
          <w:szCs w:val="32"/>
        </w:rPr>
      </w:pPr>
      <w:hyperlink w:anchor="_Toc434746188" w:history="1">
        <w:r w:rsidRPr="00E22350" w:rsidR="00367BA9">
          <w:rPr>
            <w:rFonts w:ascii="仿宋_GB2312" w:eastAsia="仿宋_GB2312" w:hAnsi="宋体" w:cs="宋体" w:hint="eastAsia"/>
            <w:b/>
            <w:bCs/>
            <w:sz w:val="32"/>
            <w:szCs w:val="32"/>
          </w:rPr>
          <w:t>二、部门绩效目标实现情况</w:t>
        </w:r>
      </w:hyperlink>
    </w:p>
    <w:p w:rsidR="00F43CD4" w:rsidRPr="00E22350" w:rsidP="00F43CD4">
      <w:pPr>
        <w:snapToGrid w:val="0"/>
        <w:spacing w:line="520" w:lineRule="exact"/>
        <w:ind w:firstLine="640" w:firstLineChars="200"/>
        <w:rPr>
          <w:rFonts w:ascii="仿宋_GB2312" w:eastAsia="仿宋_GB2312" w:hAnsi="仿宋" w:hint="eastAsia"/>
          <w:b/>
          <w:sz w:val="32"/>
          <w:szCs w:val="32"/>
        </w:rPr>
      </w:pPr>
      <w:r w:rsidRPr="00E22350">
        <w:rPr>
          <w:rFonts w:ascii="仿宋_GB2312" w:eastAsia="仿宋_GB2312" w:hAnsi="仿宋" w:hint="eastAsia"/>
          <w:b/>
          <w:sz w:val="32"/>
          <w:szCs w:val="32"/>
        </w:rPr>
        <w:t>（一）收入支出预算安排情况。</w:t>
      </w:r>
    </w:p>
    <w:p w:rsidR="00F43CD4" w:rsidRPr="00E22350" w:rsidP="00F43CD4">
      <w:pPr>
        <w:snapToGrid w:val="0"/>
        <w:spacing w:line="520" w:lineRule="exact"/>
        <w:ind w:firstLine="640" w:firstLineChars="200"/>
        <w:rPr>
          <w:rFonts w:ascii="仿宋_GB2312" w:eastAsia="仿宋_GB2312" w:hAnsi="仿宋" w:cs="仿宋" w:hint="eastAsia"/>
          <w:sz w:val="32"/>
          <w:szCs w:val="32"/>
        </w:rPr>
      </w:pPr>
      <w:r w:rsidRPr="00E22350">
        <w:rPr>
          <w:rFonts w:ascii="仿宋_GB2312" w:eastAsia="仿宋_GB2312" w:hAnsi="仿宋" w:cs="仿宋" w:hint="eastAsia"/>
          <w:sz w:val="32"/>
          <w:szCs w:val="32"/>
        </w:rPr>
        <w:t>2019年预算收入157.26万元，其中：一般公共预算拨款收入157.26万元，上级补助收入0万元，事业收入0万元，其他收入0万元。2019年部门支出预算为157.26万元，其中：基本支出115.26万元，包括人员经费108.84万元和日常公用经费6.42万元；项目支出42万元。</w:t>
      </w:r>
    </w:p>
    <w:p w:rsidR="00F43CD4" w:rsidRPr="00E22350" w:rsidP="00F43CD4">
      <w:pPr>
        <w:ind w:firstLine="630"/>
        <w:rPr>
          <w:rFonts w:ascii="仿宋_GB2312" w:eastAsia="仿宋_GB2312" w:hint="eastAsia"/>
          <w:b/>
          <w:bCs/>
          <w:sz w:val="32"/>
          <w:szCs w:val="32"/>
        </w:rPr>
      </w:pPr>
      <w:r w:rsidRPr="00E22350">
        <w:rPr>
          <w:rFonts w:ascii="仿宋_GB2312" w:eastAsia="仿宋_GB2312" w:hAnsi="仿宋" w:cs="仿宋" w:hint="eastAsia"/>
          <w:sz w:val="32"/>
          <w:szCs w:val="32"/>
        </w:rPr>
        <w:t>2019年部门预算收支安排157.26万元，较2018年增长42.83万元，其中：基本支出增长10.83万元，主要是人员工资及保险经费增加；项目支出增长32万元，主要是2019年按照区政府安排做的7.5亿元债券业务咨询服务费增加30万元，招标服务费增加2万元。</w:t>
      </w:r>
    </w:p>
    <w:p w:rsidR="00F43CD4" w:rsidRPr="00E22350" w:rsidP="00F43CD4">
      <w:pPr>
        <w:snapToGrid w:val="0"/>
        <w:spacing w:line="520" w:lineRule="exact"/>
        <w:ind w:firstLine="640" w:firstLineChars="200"/>
        <w:rPr>
          <w:rFonts w:ascii="仿宋_GB2312" w:eastAsia="仿宋_GB2312" w:hAnsi="仿宋" w:hint="eastAsia"/>
          <w:b/>
          <w:sz w:val="32"/>
          <w:szCs w:val="32"/>
        </w:rPr>
      </w:pPr>
      <w:r w:rsidRPr="00E22350">
        <w:rPr>
          <w:rFonts w:ascii="仿宋_GB2312" w:eastAsia="仿宋_GB2312" w:hAnsi="仿宋" w:hint="eastAsia"/>
          <w:b/>
          <w:sz w:val="32"/>
          <w:szCs w:val="32"/>
        </w:rPr>
        <w:t>（二）收入支出预算执行情况。</w:t>
      </w:r>
    </w:p>
    <w:p w:rsidR="00F43CD4" w:rsidRPr="00E22350" w:rsidP="00F43CD4">
      <w:pPr>
        <w:snapToGrid w:val="0"/>
        <w:spacing w:line="520" w:lineRule="exact"/>
        <w:ind w:firstLine="640" w:firstLineChars="200"/>
        <w:rPr>
          <w:rFonts w:ascii="仿宋_GB2312" w:eastAsia="仿宋_GB2312" w:hAnsi="仿宋_GB2312" w:cs="仿宋_GB2312" w:hint="eastAsia"/>
          <w:sz w:val="32"/>
          <w:szCs w:val="32"/>
        </w:rPr>
      </w:pPr>
      <w:r w:rsidRPr="00E22350">
        <w:rPr>
          <w:rFonts w:ascii="仿宋_GB2312" w:eastAsia="仿宋_GB2312" w:hAnsi="仿宋_GB2312" w:cs="仿宋_GB2312" w:hint="eastAsia"/>
          <w:sz w:val="32"/>
          <w:szCs w:val="32"/>
        </w:rPr>
        <w:t>2019年度财政拨款收入32922.742045万元，其中一般公共预算财政拨款322.742045万元，政府性基金拨款32600万元。支出543.195573万元，其中人员经费100.369103万元、日常公用经费8.523335万元，项目支出434.303135万元。本年收入较上年减少8.23%，为</w:t>
      </w:r>
      <w:r w:rsidRPr="00E22350">
        <w:rPr>
          <w:rFonts w:ascii="仿宋_GB2312" w:eastAsia="仿宋_GB2312" w:hAnsi="仿宋" w:cs="仿宋_GB2312" w:hint="eastAsia"/>
          <w:sz w:val="32"/>
          <w:szCs w:val="32"/>
        </w:rPr>
        <w:t>政府性基金拨款减少2925.353370</w:t>
      </w:r>
      <w:r w:rsidRPr="00E22350">
        <w:rPr>
          <w:rFonts w:ascii="仿宋_GB2312" w:eastAsia="仿宋_GB2312" w:hAnsi="仿宋" w:cs="仿宋" w:hint="eastAsia"/>
          <w:sz w:val="32"/>
          <w:szCs w:val="32"/>
        </w:rPr>
        <w:t>万元</w:t>
      </w:r>
      <w:r w:rsidRPr="00E22350">
        <w:rPr>
          <w:rFonts w:ascii="仿宋_GB2312" w:eastAsia="仿宋_GB2312" w:hAnsi="仿宋" w:cs="仿宋_GB2312" w:hint="eastAsia"/>
          <w:sz w:val="32"/>
          <w:szCs w:val="32"/>
        </w:rPr>
        <w:t>，主要原因为本年度无成本返还资金；</w:t>
      </w:r>
      <w:r w:rsidRPr="00E22350">
        <w:rPr>
          <w:rFonts w:ascii="仿宋_GB2312" w:eastAsia="仿宋_GB2312" w:hAnsi="仿宋_GB2312" w:cs="仿宋_GB2312" w:hint="eastAsia"/>
          <w:sz w:val="32"/>
          <w:szCs w:val="32"/>
        </w:rPr>
        <w:t>支出较上年减少92.92%，其中基本支出减少31.31%，主要原因为需要支付的业务经费减少；项目支出较上年度减少94.23%，主要原因为项目相关费用支出减少。</w:t>
      </w:r>
    </w:p>
    <w:p w:rsidR="00F43CD4" w:rsidRPr="00E22350" w:rsidP="00F43CD4">
      <w:pPr>
        <w:snapToGrid w:val="0"/>
        <w:spacing w:line="520" w:lineRule="exact"/>
        <w:ind w:firstLine="640" w:firstLineChars="200"/>
        <w:rPr>
          <w:rFonts w:ascii="仿宋_GB2312" w:eastAsia="仿宋_GB2312" w:hAnsi="仿宋" w:hint="eastAsia"/>
          <w:b/>
          <w:sz w:val="32"/>
          <w:szCs w:val="32"/>
        </w:rPr>
      </w:pPr>
      <w:r w:rsidRPr="00E22350">
        <w:rPr>
          <w:rFonts w:ascii="仿宋_GB2312" w:eastAsia="仿宋_GB2312" w:hAnsi="仿宋" w:hint="eastAsia"/>
          <w:b/>
          <w:sz w:val="32"/>
          <w:szCs w:val="32"/>
        </w:rPr>
        <w:t>1．收入支出与预算对比分析。</w:t>
      </w:r>
    </w:p>
    <w:p w:rsidR="00F43CD4" w:rsidRPr="00E22350" w:rsidP="00F43CD4">
      <w:pPr>
        <w:snapToGrid w:val="0"/>
        <w:spacing w:line="520" w:lineRule="exact"/>
        <w:ind w:firstLine="640" w:firstLineChars="200"/>
        <w:rPr>
          <w:rFonts w:ascii="仿宋_GB2312" w:eastAsia="仿宋_GB2312" w:hAnsi="仿宋" w:hint="eastAsia"/>
          <w:sz w:val="32"/>
          <w:szCs w:val="32"/>
        </w:rPr>
      </w:pPr>
      <w:r w:rsidRPr="00E22350">
        <w:rPr>
          <w:rFonts w:ascii="仿宋_GB2312" w:eastAsia="仿宋_GB2312" w:hAnsi="仿宋" w:hint="eastAsia"/>
          <w:sz w:val="32"/>
          <w:szCs w:val="32"/>
        </w:rPr>
        <w:t>（1）预、决算差异情况。</w:t>
      </w:r>
    </w:p>
    <w:p w:rsidR="00F43CD4" w:rsidRPr="00E22350" w:rsidP="00F43CD4">
      <w:pPr>
        <w:snapToGrid w:val="0"/>
        <w:spacing w:line="520" w:lineRule="exact"/>
        <w:ind w:firstLine="640" w:firstLineChars="200"/>
        <w:rPr>
          <w:rFonts w:ascii="仿宋_GB2312" w:eastAsia="仿宋_GB2312" w:hAnsi="仿宋" w:hint="eastAsia"/>
          <w:sz w:val="32"/>
          <w:szCs w:val="32"/>
        </w:rPr>
      </w:pPr>
      <w:r w:rsidRPr="00E22350">
        <w:rPr>
          <w:rFonts w:ascii="仿宋_GB2312" w:eastAsia="仿宋_GB2312" w:hAnsi="仿宋_GB2312" w:cs="仿宋_GB2312" w:hint="eastAsia"/>
          <w:sz w:val="32"/>
          <w:szCs w:val="32"/>
          <w:shd w:val="clear" w:color="auto" w:fill="FFFFFF"/>
        </w:rPr>
        <w:t>2019年预算内安排的收入总计</w:t>
      </w:r>
      <w:r w:rsidRPr="00E22350">
        <w:rPr>
          <w:rFonts w:ascii="仿宋_GB2312" w:eastAsia="仿宋_GB2312" w:hAnsi="仿宋" w:cs="仿宋_GB2312" w:hint="eastAsia"/>
          <w:sz w:val="32"/>
          <w:szCs w:val="32"/>
        </w:rPr>
        <w:t>157.26</w:t>
      </w:r>
      <w:r w:rsidRPr="00E22350">
        <w:rPr>
          <w:rFonts w:ascii="仿宋_GB2312" w:eastAsia="仿宋_GB2312" w:hAnsi="仿宋_GB2312" w:cs="仿宋_GB2312" w:hint="eastAsia"/>
          <w:sz w:val="32"/>
          <w:szCs w:val="32"/>
        </w:rPr>
        <w:t>万元，全部为一般</w:t>
      </w:r>
      <w:r w:rsidRPr="00E22350">
        <w:rPr>
          <w:rFonts w:ascii="仿宋_GB2312" w:eastAsia="仿宋_GB2312" w:hAnsi="仿宋_GB2312" w:cs="仿宋_GB2312" w:hint="eastAsia"/>
          <w:sz w:val="32"/>
          <w:szCs w:val="32"/>
          <w:shd w:val="clear" w:color="auto" w:fill="FFFFFF"/>
        </w:rPr>
        <w:t>公共财政预算收入，</w:t>
      </w:r>
      <w:r w:rsidRPr="00E22350">
        <w:rPr>
          <w:rFonts w:ascii="仿宋_GB2312" w:eastAsia="仿宋_GB2312" w:hAnsi="仿宋" w:cs="仿宋_GB2312" w:hint="eastAsia"/>
          <w:sz w:val="32"/>
          <w:szCs w:val="32"/>
        </w:rPr>
        <w:t>支出预算为157.26万元，其中：基本支出115.26万元，包括人员经费108.84万元和日常公用经费6.42万元；项目支出42万元</w:t>
      </w:r>
      <w:r w:rsidRPr="00E22350">
        <w:rPr>
          <w:rFonts w:ascii="仿宋_GB2312" w:eastAsia="仿宋_GB2312" w:hAnsi="仿宋_GB2312" w:cs="仿宋_GB2312" w:hint="eastAsia"/>
          <w:sz w:val="32"/>
          <w:szCs w:val="32"/>
        </w:rPr>
        <w:t>。2019年度财政拨款收入32922.742045万元，其中一般公共预算财政拨款322.742045万元（基本支出120.742045万元、项目支出202万元），政府性基金拨款32600万元。支出543.195573万元，其中基本支出108.892438万元（人员经费100.369103万元、日常公用经费8.523335万元），项目支出434.303135万元（一般公共预算202万元、政府性基金预算232.303135万元）。</w:t>
      </w:r>
    </w:p>
    <w:p w:rsidR="00F43CD4" w:rsidRPr="00E22350" w:rsidP="00F43CD4">
      <w:pPr>
        <w:snapToGrid w:val="0"/>
        <w:spacing w:line="520" w:lineRule="exact"/>
        <w:ind w:firstLine="640" w:firstLineChars="200"/>
        <w:rPr>
          <w:rFonts w:ascii="仿宋_GB2312" w:eastAsia="仿宋_GB2312" w:hAnsi="仿宋" w:hint="eastAsia"/>
          <w:sz w:val="32"/>
          <w:szCs w:val="32"/>
        </w:rPr>
      </w:pPr>
      <w:r w:rsidRPr="00E22350">
        <w:rPr>
          <w:rFonts w:ascii="仿宋_GB2312" w:eastAsia="仿宋_GB2312" w:hAnsi="仿宋" w:hint="eastAsia"/>
          <w:sz w:val="32"/>
          <w:szCs w:val="32"/>
        </w:rPr>
        <w:t>（2）差异原因分析。</w:t>
      </w:r>
    </w:p>
    <w:p w:rsidR="00F43CD4" w:rsidRPr="00E22350" w:rsidP="00F43CD4">
      <w:pPr>
        <w:snapToGrid w:val="0"/>
        <w:spacing w:line="520" w:lineRule="exact"/>
        <w:ind w:firstLine="640" w:firstLineChars="200"/>
        <w:rPr>
          <w:rFonts w:ascii="仿宋_GB2312" w:eastAsia="仿宋_GB2312" w:hAnsi="仿宋" w:hint="eastAsia"/>
          <w:sz w:val="32"/>
          <w:szCs w:val="32"/>
        </w:rPr>
      </w:pPr>
      <w:r w:rsidRPr="00E22350">
        <w:rPr>
          <w:rFonts w:ascii="仿宋_GB2312" w:eastAsia="仿宋_GB2312" w:hAnsi="仿宋" w:hint="eastAsia"/>
          <w:sz w:val="32"/>
          <w:szCs w:val="32"/>
        </w:rPr>
        <w:t>2019年决算财政收入较预算增加32765.482045万元，其中一般公共预算财政拨款165.482045万元，增加105.23%，主要为财政拨入还贷利息及2019年需支付的债券咨询服务费；政府性基金财政拨款32600万元，为区财政2019年度的土地储备专项债券资金，但按区财政要求暂不予拨付项目相关单位。</w:t>
      </w:r>
    </w:p>
    <w:p w:rsidR="009645B2" w:rsidRPr="00E22350" w:rsidP="00F43CD4">
      <w:pPr>
        <w:pStyle w:val="1"/>
        <w:spacing w:line="100" w:lineRule="atLeast"/>
        <w:ind w:firstLine="0" w:firstLineChars="0"/>
        <w:rPr>
          <w:rFonts w:ascii="仿宋_GB2312" w:eastAsia="仿宋_GB2312" w:hAnsi="宋体" w:cs="宋体" w:hint="eastAsia"/>
          <w:b/>
          <w:bCs/>
          <w:sz w:val="32"/>
          <w:szCs w:val="32"/>
        </w:rPr>
      </w:pPr>
      <w:r w:rsidRPr="00E22350">
        <w:rPr>
          <w:rFonts w:ascii="仿宋_GB2312" w:eastAsia="仿宋_GB2312" w:hAnsi="宋体" w:cs="宋体" w:hint="eastAsia"/>
          <w:b/>
          <w:bCs/>
          <w:sz w:val="32"/>
          <w:szCs w:val="32"/>
        </w:rPr>
        <w:t>三、绩效目标设定质量情况</w:t>
      </w:r>
    </w:p>
    <w:p w:rsidR="009645B2" w:rsidRPr="00E22350">
      <w:pPr>
        <w:adjustRightInd w:val="0"/>
        <w:spacing w:line="100" w:lineRule="atLeast"/>
        <w:rPr>
          <w:rFonts w:ascii="仿宋_GB2312" w:eastAsia="仿宋_GB2312" w:hAnsi="宋体" w:cs="宋体" w:hint="eastAsia"/>
          <w:sz w:val="32"/>
          <w:szCs w:val="32"/>
        </w:rPr>
      </w:pPr>
      <w:r w:rsidRPr="00E22350">
        <w:rPr>
          <w:rFonts w:ascii="仿宋_GB2312" w:eastAsia="仿宋_GB2312" w:hAnsi="宋体" w:cs="宋体" w:hint="eastAsia"/>
          <w:sz w:val="32"/>
          <w:szCs w:val="32"/>
        </w:rPr>
        <w:t>（一）绩效自评目的。</w:t>
      </w:r>
    </w:p>
    <w:p w:rsidR="009645B2" w:rsidRPr="00E22350">
      <w:pPr>
        <w:adjustRightInd w:val="0"/>
        <w:spacing w:line="100" w:lineRule="atLeast"/>
        <w:ind w:firstLine="640" w:firstLineChars="200"/>
        <w:rPr>
          <w:rFonts w:ascii="仿宋_GB2312" w:eastAsia="仿宋_GB2312" w:hAnsi="宋体" w:cs="宋体" w:hint="eastAsia"/>
          <w:sz w:val="32"/>
          <w:szCs w:val="32"/>
        </w:rPr>
      </w:pPr>
      <w:r w:rsidRPr="00E22350">
        <w:rPr>
          <w:rFonts w:ascii="仿宋_GB2312" w:eastAsia="仿宋_GB2312" w:hAnsi="宋体" w:cs="宋体" w:hint="eastAsia"/>
          <w:kern w:val="0"/>
          <w:sz w:val="32"/>
          <w:szCs w:val="32"/>
        </w:rPr>
        <w:t>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w:t>
      </w:r>
      <w:r w:rsidRPr="00E22350">
        <w:rPr>
          <w:rFonts w:ascii="仿宋_GB2312" w:eastAsia="仿宋_GB2312" w:hAnsi="宋体" w:cs="宋体" w:hint="eastAsia"/>
          <w:kern w:val="0"/>
          <w:sz w:val="32"/>
          <w:szCs w:val="32"/>
        </w:rPr>
        <w:t>的使用效益。</w:t>
      </w:r>
    </w:p>
    <w:p w:rsidR="009645B2" w:rsidRPr="00E22350">
      <w:pPr>
        <w:spacing w:line="100" w:lineRule="atLeast"/>
        <w:rPr>
          <w:rFonts w:ascii="仿宋_GB2312" w:eastAsia="仿宋_GB2312" w:hAnsi="宋体" w:cs="宋体" w:hint="eastAsia"/>
          <w:sz w:val="32"/>
          <w:szCs w:val="32"/>
        </w:rPr>
      </w:pPr>
      <w:r w:rsidRPr="00E22350">
        <w:rPr>
          <w:rFonts w:ascii="仿宋_GB2312" w:eastAsia="仿宋_GB2312" w:hAnsi="宋体" w:cs="宋体" w:hint="eastAsia"/>
          <w:sz w:val="32"/>
          <w:szCs w:val="32"/>
        </w:rPr>
        <w:t>（二）自评指标体系</w:t>
      </w:r>
    </w:p>
    <w:p w:rsidR="009645B2" w:rsidRPr="00E22350">
      <w:pPr>
        <w:spacing w:line="100" w:lineRule="atLeast"/>
        <w:ind w:firstLine="640" w:firstLineChars="200"/>
        <w:rPr>
          <w:rFonts w:ascii="仿宋_GB2312" w:eastAsia="仿宋_GB2312" w:hAnsi="宋体" w:cs="宋体" w:hint="eastAsia"/>
          <w:sz w:val="32"/>
          <w:szCs w:val="32"/>
        </w:rPr>
      </w:pPr>
      <w:r w:rsidRPr="00E22350">
        <w:rPr>
          <w:rFonts w:ascii="仿宋_GB2312" w:eastAsia="仿宋_GB2312" w:hAnsi="宋体" w:cs="宋体" w:hint="eastAsia"/>
          <w:sz w:val="32"/>
          <w:szCs w:val="32"/>
        </w:rPr>
        <w:t>评价指标体系是开展绩效评价工作的核心。我部门在参考财政支出绩效评价指标框架的基础上，结合实际，确定了绩效评价指标。绩效评价框架包括投入、过程、产出、效果四个方面。</w:t>
      </w:r>
    </w:p>
    <w:p w:rsidR="009645B2" w:rsidRPr="00E22350">
      <w:pPr>
        <w:tabs>
          <w:tab w:val="left" w:pos="3825"/>
        </w:tabs>
        <w:spacing w:line="100" w:lineRule="atLeast"/>
        <w:ind w:firstLine="640" w:firstLineChars="200"/>
        <w:rPr>
          <w:rFonts w:ascii="仿宋_GB2312" w:eastAsia="仿宋_GB2312" w:hAnsi="宋体" w:cs="宋体" w:hint="eastAsia"/>
          <w:sz w:val="32"/>
          <w:szCs w:val="32"/>
        </w:rPr>
      </w:pPr>
      <w:r w:rsidRPr="00E22350">
        <w:rPr>
          <w:rFonts w:ascii="仿宋_GB2312" w:eastAsia="仿宋_GB2312" w:hAnsi="宋体" w:cs="宋体" w:hint="eastAsia"/>
          <w:sz w:val="32"/>
          <w:szCs w:val="32"/>
        </w:rPr>
        <w:t>评价指标体系详见附表。</w:t>
      </w:r>
      <w:r w:rsidRPr="00E22350">
        <w:rPr>
          <w:rFonts w:ascii="仿宋_GB2312" w:eastAsia="仿宋_GB2312" w:hAnsi="宋体" w:cs="宋体" w:hint="eastAsia"/>
          <w:sz w:val="32"/>
          <w:szCs w:val="32"/>
        </w:rPr>
        <w:tab/>
      </w:r>
    </w:p>
    <w:p w:rsidR="009645B2" w:rsidRPr="00E22350">
      <w:pPr>
        <w:spacing w:line="100" w:lineRule="atLeast"/>
        <w:rPr>
          <w:rFonts w:ascii="仿宋_GB2312" w:eastAsia="仿宋_GB2312" w:hAnsi="宋体" w:cs="宋体" w:hint="eastAsia"/>
          <w:sz w:val="32"/>
          <w:szCs w:val="32"/>
        </w:rPr>
      </w:pPr>
      <w:r w:rsidRPr="00E22350">
        <w:rPr>
          <w:rFonts w:ascii="仿宋_GB2312" w:eastAsia="仿宋_GB2312" w:hAnsi="宋体" w:cs="宋体" w:hint="eastAsia"/>
          <w:sz w:val="32"/>
          <w:szCs w:val="32"/>
        </w:rPr>
        <w:t xml:space="preserve">（三）自评组织过程 </w:t>
      </w:r>
    </w:p>
    <w:p w:rsidR="009645B2" w:rsidRPr="00E22350">
      <w:pPr>
        <w:spacing w:line="100" w:lineRule="atLeast"/>
        <w:ind w:firstLine="640" w:firstLineChars="200"/>
        <w:rPr>
          <w:rFonts w:ascii="仿宋_GB2312" w:eastAsia="仿宋_GB2312" w:hAnsi="宋体" w:cs="宋体" w:hint="eastAsia"/>
          <w:sz w:val="32"/>
          <w:szCs w:val="32"/>
        </w:rPr>
      </w:pPr>
      <w:r w:rsidRPr="00E22350">
        <w:rPr>
          <w:rFonts w:ascii="仿宋_GB2312" w:eastAsia="仿宋_GB2312" w:hAnsi="宋体" w:cs="宋体" w:hint="eastAsia"/>
          <w:sz w:val="32"/>
          <w:szCs w:val="32"/>
        </w:rPr>
        <w:t>1.前期准备</w:t>
      </w:r>
    </w:p>
    <w:p w:rsidR="009645B2" w:rsidRPr="00E22350">
      <w:pPr>
        <w:spacing w:line="100" w:lineRule="atLeast"/>
        <w:ind w:firstLine="480" w:firstLineChars="150"/>
        <w:rPr>
          <w:rFonts w:ascii="仿宋_GB2312" w:eastAsia="仿宋_GB2312" w:hAnsi="宋体" w:cs="宋体" w:hint="eastAsia"/>
          <w:sz w:val="32"/>
          <w:szCs w:val="32"/>
        </w:rPr>
      </w:pPr>
      <w:r w:rsidRPr="00E22350">
        <w:rPr>
          <w:rFonts w:ascii="仿宋_GB2312" w:eastAsia="仿宋_GB2312" w:hAnsi="宋体" w:cs="宋体" w:hint="eastAsia"/>
          <w:sz w:val="32"/>
          <w:szCs w:val="32"/>
        </w:rPr>
        <w:t>（1）成立绩效工作小组。为使绩效评价工作顺利开展，根据区财政局的通知要求，成立绩效评价工作组，负责整个评价工作的组织、协调和具体实施。</w:t>
      </w:r>
    </w:p>
    <w:p w:rsidR="009645B2" w:rsidRPr="00E22350">
      <w:pPr>
        <w:spacing w:line="100" w:lineRule="atLeast"/>
        <w:ind w:firstLine="480" w:firstLineChars="150"/>
        <w:rPr>
          <w:rFonts w:ascii="仿宋_GB2312" w:eastAsia="仿宋_GB2312" w:hAnsi="宋体" w:cs="宋体" w:hint="eastAsia"/>
          <w:sz w:val="32"/>
          <w:szCs w:val="32"/>
        </w:rPr>
      </w:pPr>
      <w:r w:rsidRPr="00E22350">
        <w:rPr>
          <w:rFonts w:ascii="仿宋_GB2312" w:eastAsia="仿宋_GB2312" w:hAnsi="宋体" w:cs="宋体" w:hint="eastAsia"/>
          <w:sz w:val="32"/>
          <w:szCs w:val="32"/>
        </w:rPr>
        <w:t>（2）部署绩效自评工作。召开年度绩效自评工作部署会，组织相关人员开展业务培训。</w:t>
      </w:r>
    </w:p>
    <w:p w:rsidR="009645B2" w:rsidRPr="00E22350">
      <w:pPr>
        <w:spacing w:line="100" w:lineRule="atLeast"/>
        <w:ind w:firstLine="640" w:firstLineChars="200"/>
        <w:rPr>
          <w:rFonts w:ascii="仿宋_GB2312" w:eastAsia="仿宋_GB2312" w:hAnsi="宋体" w:cs="宋体" w:hint="eastAsia"/>
          <w:sz w:val="32"/>
          <w:szCs w:val="32"/>
        </w:rPr>
      </w:pPr>
      <w:r w:rsidRPr="00E22350">
        <w:rPr>
          <w:rFonts w:ascii="仿宋_GB2312" w:eastAsia="仿宋_GB2312" w:hAnsi="宋体" w:cs="宋体" w:hint="eastAsia"/>
          <w:sz w:val="32"/>
          <w:szCs w:val="32"/>
        </w:rPr>
        <w:t>2.组织实施</w:t>
      </w:r>
    </w:p>
    <w:p w:rsidR="009645B2" w:rsidRPr="00E22350">
      <w:pPr>
        <w:spacing w:line="100" w:lineRule="atLeast"/>
        <w:ind w:firstLine="480" w:firstLineChars="150"/>
        <w:rPr>
          <w:rFonts w:ascii="仿宋_GB2312" w:eastAsia="仿宋_GB2312" w:hAnsi="宋体" w:cs="宋体" w:hint="eastAsia"/>
          <w:sz w:val="32"/>
          <w:szCs w:val="32"/>
        </w:rPr>
      </w:pPr>
      <w:r w:rsidRPr="00E22350">
        <w:rPr>
          <w:rFonts w:ascii="仿宋_GB2312" w:eastAsia="仿宋_GB2312" w:hAnsi="宋体" w:cs="宋体" w:hint="eastAsia"/>
          <w:sz w:val="32"/>
          <w:szCs w:val="32"/>
        </w:rPr>
        <w:t xml:space="preserve">（1）资金使用科室自评。资金使用科室指定熟悉项目情况的项目负责人和相关工作人员准备绩效自评所需要的相关佐证材料，撰写绩效自评报告，报送评价工作组。 </w:t>
      </w:r>
    </w:p>
    <w:p w:rsidR="009645B2" w:rsidRPr="00E22350">
      <w:pPr>
        <w:spacing w:line="100" w:lineRule="atLeast"/>
        <w:ind w:firstLine="480" w:firstLineChars="150"/>
        <w:rPr>
          <w:rFonts w:ascii="仿宋_GB2312" w:eastAsia="仿宋_GB2312" w:hAnsi="宋体" w:cs="宋体" w:hint="eastAsia"/>
          <w:sz w:val="32"/>
          <w:szCs w:val="32"/>
        </w:rPr>
      </w:pPr>
      <w:r w:rsidRPr="00E22350">
        <w:rPr>
          <w:rFonts w:ascii="仿宋_GB2312" w:eastAsia="仿宋_GB2312" w:hAnsi="宋体" w:cs="宋体" w:hint="eastAsia"/>
          <w:sz w:val="32"/>
          <w:szCs w:val="32"/>
        </w:rPr>
        <w:t xml:space="preserve">（2）收集与审核资料。评价工作组在资金使用单位提供的绩效自评报告和相关佐证材料的基础上，结合评价对象实际情况对所有资料进行核实和全面分析，对重要的和存在疑问的基础数据资料进一步核实确认。 </w:t>
      </w:r>
    </w:p>
    <w:p w:rsidR="009645B2" w:rsidRPr="00E22350">
      <w:pPr>
        <w:spacing w:line="100" w:lineRule="atLeast"/>
        <w:ind w:firstLine="480" w:firstLineChars="150"/>
        <w:rPr>
          <w:rFonts w:ascii="仿宋_GB2312" w:eastAsia="仿宋_GB2312" w:hAnsi="宋体" w:cs="宋体" w:hint="eastAsia"/>
          <w:sz w:val="32"/>
          <w:szCs w:val="32"/>
        </w:rPr>
      </w:pPr>
      <w:r w:rsidRPr="00E22350">
        <w:rPr>
          <w:rFonts w:ascii="仿宋_GB2312" w:eastAsia="仿宋_GB2312" w:hAnsi="宋体" w:cs="宋体" w:hint="eastAsia"/>
          <w:sz w:val="32"/>
          <w:szCs w:val="32"/>
        </w:rPr>
        <w:t>（3）制定评价指标体系，提出评价意见。在财政部门共性指标框架的基础上，结合部门实际，制定评价指标体系，对照绩效指标进行综合评价，形成评价意见。</w:t>
      </w:r>
    </w:p>
    <w:p w:rsidR="009645B2" w:rsidRPr="00E22350">
      <w:pPr>
        <w:spacing w:line="100" w:lineRule="atLeast"/>
        <w:ind w:firstLine="480" w:firstLineChars="150"/>
        <w:rPr>
          <w:rFonts w:ascii="仿宋_GB2312" w:eastAsia="仿宋_GB2312" w:hAnsi="宋体" w:cs="宋体" w:hint="eastAsia"/>
          <w:b/>
          <w:bCs/>
          <w:sz w:val="32"/>
          <w:szCs w:val="32"/>
        </w:rPr>
      </w:pPr>
      <w:r w:rsidRPr="00E22350">
        <w:rPr>
          <w:rFonts w:ascii="仿宋_GB2312" w:eastAsia="仿宋_GB2312" w:hAnsi="宋体" w:cs="宋体" w:hint="eastAsia"/>
          <w:b/>
          <w:bCs/>
          <w:sz w:val="32"/>
          <w:szCs w:val="32"/>
        </w:rPr>
        <w:t>四、整改措施及结果应用</w:t>
      </w:r>
    </w:p>
    <w:p w:rsidR="009645B2" w:rsidRPr="00E22350">
      <w:pPr>
        <w:widowControl/>
        <w:shd w:val="clear" w:color="auto" w:fill="FFFFFF"/>
        <w:spacing w:line="100" w:lineRule="atLeast"/>
        <w:rPr>
          <w:rFonts w:ascii="仿宋_GB2312" w:eastAsia="仿宋_GB2312" w:hAnsi="宋体" w:cs="宋体" w:hint="eastAsia"/>
          <w:kern w:val="0"/>
          <w:sz w:val="32"/>
          <w:szCs w:val="32"/>
        </w:rPr>
      </w:pPr>
      <w:r w:rsidRPr="00E22350">
        <w:rPr>
          <w:rFonts w:ascii="仿宋_GB2312" w:eastAsia="仿宋_GB2312" w:hAnsi="宋体" w:cs="宋体" w:hint="eastAsia"/>
          <w:kern w:val="0"/>
          <w:sz w:val="32"/>
          <w:szCs w:val="32"/>
        </w:rPr>
        <w:t>（一）存在的问题。</w:t>
      </w:r>
    </w:p>
    <w:p w:rsidR="009645B2" w:rsidRPr="00E22350">
      <w:pPr>
        <w:spacing w:line="100" w:lineRule="atLeast"/>
        <w:ind w:firstLine="450" w:firstLineChars="150"/>
        <w:rPr>
          <w:rFonts w:ascii="仿宋_GB2312" w:eastAsia="仿宋_GB2312" w:hAnsi="宋体" w:cs="宋体" w:hint="eastAsia"/>
          <w:kern w:val="0"/>
          <w:sz w:val="30"/>
          <w:szCs w:val="30"/>
        </w:rPr>
      </w:pPr>
      <w:r w:rsidRPr="00E22350">
        <w:rPr>
          <w:rFonts w:ascii="仿宋_GB2312" w:eastAsia="仿宋_GB2312" w:hAnsi="宋体" w:cs="宋体" w:hint="eastAsia"/>
          <w:kern w:val="0"/>
          <w:sz w:val="30"/>
          <w:szCs w:val="30"/>
        </w:rPr>
        <w:t>1、</w:t>
      </w:r>
      <w:r w:rsidRPr="00E22350">
        <w:rPr>
          <w:rFonts w:ascii="仿宋_GB2312" w:eastAsia="仿宋_GB2312" w:hAnsi="宋体" w:cs="宋体" w:hint="eastAsia"/>
          <w:sz w:val="30"/>
          <w:szCs w:val="30"/>
        </w:rPr>
        <w:t>机关事业单位对绩效考核的应用不足，在实践中员工与管理者相互缺乏沟通，造成不配合，最终导致绩效考核如同形式一样没有实际意义。</w:t>
      </w:r>
    </w:p>
    <w:p w:rsidR="009645B2" w:rsidRPr="00E22350">
      <w:pPr>
        <w:spacing w:line="100" w:lineRule="atLeast"/>
        <w:rPr>
          <w:rFonts w:ascii="仿宋_GB2312" w:eastAsia="仿宋_GB2312" w:hAnsi="宋体" w:cs="宋体" w:hint="eastAsia"/>
          <w:kern w:val="0"/>
          <w:sz w:val="32"/>
          <w:szCs w:val="32"/>
        </w:rPr>
      </w:pPr>
      <w:r w:rsidRPr="00E22350">
        <w:rPr>
          <w:rFonts w:ascii="仿宋_GB2312" w:eastAsia="仿宋_GB2312" w:hAnsi="宋体" w:cs="宋体" w:hint="eastAsia"/>
          <w:kern w:val="0"/>
          <w:sz w:val="32"/>
          <w:szCs w:val="32"/>
        </w:rPr>
        <w:t>（二）整改情况</w:t>
      </w:r>
    </w:p>
    <w:p w:rsidR="009645B2" w:rsidRPr="00E22350">
      <w:pPr>
        <w:spacing w:line="100" w:lineRule="atLeast"/>
        <w:ind w:firstLine="645"/>
        <w:rPr>
          <w:rFonts w:ascii="仿宋_GB2312" w:eastAsia="仿宋_GB2312" w:hAnsi="宋体" w:cs="宋体" w:hint="eastAsia"/>
          <w:sz w:val="32"/>
          <w:szCs w:val="32"/>
        </w:rPr>
      </w:pPr>
      <w:r w:rsidRPr="00E22350">
        <w:rPr>
          <w:rFonts w:ascii="仿宋_GB2312" w:eastAsia="仿宋_GB2312" w:hAnsi="宋体" w:cs="宋体" w:hint="eastAsia"/>
          <w:sz w:val="32"/>
          <w:szCs w:val="32"/>
        </w:rPr>
        <w:t>1.制定相应工作资金使用方案，召开业务培训，帮助各业务科室及基层监管所了解资金用途，确保完成全年工作任务。</w:t>
      </w:r>
    </w:p>
    <w:p w:rsidR="009645B2" w:rsidRPr="00E22350">
      <w:pPr>
        <w:spacing w:line="100" w:lineRule="atLeast"/>
        <w:ind w:firstLine="645"/>
        <w:rPr>
          <w:rFonts w:ascii="仿宋_GB2312" w:eastAsia="仿宋_GB2312" w:hAnsi="宋体" w:cs="宋体" w:hint="eastAsia"/>
          <w:sz w:val="32"/>
          <w:szCs w:val="32"/>
        </w:rPr>
      </w:pPr>
      <w:r w:rsidRPr="00E22350">
        <w:rPr>
          <w:rFonts w:ascii="仿宋_GB2312" w:eastAsia="仿宋_GB2312" w:hAnsi="宋体" w:cs="宋体" w:hint="eastAsia"/>
          <w:sz w:val="32"/>
          <w:szCs w:val="32"/>
        </w:rPr>
        <w:t xml:space="preserve">2.编制预算绩效时，应参考往年项目的执行情况，更加科学合理地预估项目绩效目标及成本。 </w:t>
      </w:r>
    </w:p>
    <w:p w:rsidR="009645B2" w:rsidRPr="00E22350">
      <w:pPr>
        <w:spacing w:line="100" w:lineRule="atLeast"/>
        <w:ind w:firstLine="480" w:firstLineChars="150"/>
        <w:rPr>
          <w:rFonts w:ascii="仿宋_GB2312" w:eastAsia="仿宋_GB2312" w:hAnsi="宋体" w:cs="宋体" w:hint="eastAsia"/>
          <w:sz w:val="32"/>
          <w:szCs w:val="32"/>
        </w:rPr>
      </w:pPr>
    </w:p>
    <w:p w:rsidR="009645B2" w:rsidRPr="00E22350" w:rsidP="00F43CD4">
      <w:pPr>
        <w:spacing w:line="100" w:lineRule="atLeast"/>
        <w:ind w:firstLine="480" w:firstLineChars="150"/>
        <w:rPr>
          <w:rFonts w:ascii="仿宋_GB2312" w:eastAsia="仿宋_GB2312" w:hAnsi="宋体" w:cs="宋体" w:hint="eastAsia"/>
          <w:b/>
          <w:sz w:val="32"/>
          <w:szCs w:val="32"/>
        </w:rPr>
      </w:pPr>
    </w:p>
    <w:p w:rsidR="009645B2" w:rsidRPr="00E22350" w:rsidP="00F43CD4">
      <w:pPr>
        <w:spacing w:line="100" w:lineRule="atLeast"/>
        <w:ind w:firstLine="480" w:firstLineChars="150"/>
        <w:rPr>
          <w:rFonts w:ascii="仿宋_GB2312" w:eastAsia="仿宋_GB2312" w:hAnsi="宋体" w:cs="宋体" w:hint="eastAsia"/>
          <w:b/>
          <w:sz w:val="32"/>
          <w:szCs w:val="32"/>
        </w:rPr>
      </w:pPr>
    </w:p>
    <w:p w:rsidR="009645B2" w:rsidRPr="00E22350" w:rsidP="00F43CD4">
      <w:pPr>
        <w:spacing w:line="100" w:lineRule="atLeast"/>
        <w:ind w:firstLine="480" w:firstLineChars="150"/>
        <w:rPr>
          <w:rFonts w:ascii="仿宋_GB2312" w:eastAsia="仿宋_GB2312" w:hAnsi="宋体" w:cs="宋体" w:hint="eastAsia"/>
          <w:b/>
          <w:sz w:val="32"/>
          <w:szCs w:val="32"/>
        </w:rPr>
      </w:pPr>
    </w:p>
    <w:p w:rsidR="009645B2" w:rsidRPr="00E22350" w:rsidP="00F43CD4">
      <w:pPr>
        <w:spacing w:line="100" w:lineRule="atLeast"/>
        <w:ind w:firstLine="2080" w:firstLineChars="650"/>
        <w:jc w:val="right"/>
        <w:rPr>
          <w:rFonts w:ascii="仿宋_GB2312" w:eastAsia="仿宋_GB2312" w:hint="eastAsia"/>
          <w:b/>
          <w:sz w:val="32"/>
          <w:szCs w:val="32"/>
        </w:rPr>
      </w:pPr>
      <w:r w:rsidRPr="00E22350">
        <w:rPr>
          <w:rFonts w:ascii="仿宋_GB2312" w:eastAsia="仿宋_GB2312" w:hint="eastAsia"/>
          <w:b/>
          <w:sz w:val="32"/>
          <w:szCs w:val="32"/>
        </w:rPr>
        <w:t>承德市双桥区土地收购储备中心</w:t>
      </w:r>
    </w:p>
    <w:p w:rsidR="009645B2" w:rsidRPr="00E22350" w:rsidP="00F43CD4">
      <w:pPr>
        <w:spacing w:line="100" w:lineRule="atLeast"/>
        <w:ind w:firstLine="640" w:firstLineChars="200"/>
        <w:jc w:val="right"/>
        <w:rPr>
          <w:rFonts w:ascii="仿宋_GB2312" w:eastAsia="仿宋_GB2312" w:hAnsi="宋体" w:cs="宋体" w:hint="eastAsia"/>
          <w:b/>
          <w:sz w:val="32"/>
          <w:szCs w:val="32"/>
        </w:rPr>
      </w:pPr>
      <w:r w:rsidRPr="00E22350">
        <w:rPr>
          <w:rFonts w:ascii="仿宋_GB2312" w:eastAsia="仿宋_GB2312" w:hint="eastAsia"/>
          <w:b/>
          <w:sz w:val="32"/>
          <w:szCs w:val="32"/>
        </w:rPr>
        <w:t>2020年8月18日</w:t>
      </w:r>
    </w:p>
    <w:p w:rsidR="009645B2" w:rsidRPr="00E22350">
      <w:pPr>
        <w:spacing w:line="100" w:lineRule="atLeast"/>
        <w:rPr>
          <w:rFonts w:ascii="仿宋_GB2312" w:eastAsia="仿宋_GB2312" w:hAnsi="宋体" w:cs="宋体" w:hint="eastAsia"/>
          <w:b/>
          <w:sz w:val="32"/>
          <w:szCs w:val="32"/>
        </w:rPr>
      </w:pPr>
    </w:p>
    <w:p w:rsidR="009645B2" w:rsidRPr="00E22350">
      <w:pPr>
        <w:rPr>
          <w:rFonts w:ascii="仿宋_GB2312" w:eastAsia="仿宋_GB2312" w:hint="eastAsia"/>
        </w:rPr>
      </w:pPr>
      <w:bookmarkStart w:id="0" w:name="_GoBack"/>
      <w:bookmarkEnd w:id="0"/>
    </w:p>
    <w:sectPr w:rsidSect="009645B2">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5B2">
    <w:pPr>
      <w:pStyle w:val="Footer"/>
    </w:pPr>
    <w:r>
      <w:pict>
        <v:shapetype id="_x0000_t202" coordsize="21600,21600" o:spt="202" path="m,l,21600r21600,l21600,xe">
          <v:stroke joinstyle="miter"/>
          <v:path gradientshapeok="t" o:connecttype="rect"/>
        </v:shapetype>
        <v:shape id="_x0000_s2049" type="#_x0000_t202" style="width:2in;height:2in;margin-top:0;margin-left:0;mso-position-horizontal:center;mso-position-horizontal-relative:margin;mso-wrap-style:none;position:absolute;z-index:251658240" filled="f" stroked="f" strokeweight="0.5pt">
          <v:textbox style="mso-fit-shape-to-text:t" inset="0,0,0,0">
            <w:txbxContent>
              <w:p w:rsidR="009645B2">
                <w:pPr>
                  <w:pStyle w:val="Footer"/>
                </w:pPr>
                <w:r>
                  <w:rPr>
                    <w:rFonts w:hint="eastAsia"/>
                  </w:rPr>
                  <w:fldChar w:fldCharType="begin"/>
                </w:r>
                <w:r w:rsidR="00367BA9">
                  <w:rPr>
                    <w:rFonts w:hint="eastAsia"/>
                  </w:rPr>
                  <w:instrText xml:space="preserve"> PAGE  \* MERGEFORMAT </w:instrText>
                </w:r>
                <w:r>
                  <w:rPr>
                    <w:rFonts w:hint="eastAsia"/>
                  </w:rPr>
                  <w:fldChar w:fldCharType="separate"/>
                </w:r>
                <w:r w:rsidR="00AF1487">
                  <w:rPr>
                    <w:noProof/>
                  </w:rPr>
                  <w:t>1</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D31A1"/>
    <w:rsid w:val="00004D7C"/>
    <w:rsid w:val="00076838"/>
    <w:rsid w:val="001C27AA"/>
    <w:rsid w:val="00206490"/>
    <w:rsid w:val="00266195"/>
    <w:rsid w:val="002C7757"/>
    <w:rsid w:val="00346BD2"/>
    <w:rsid w:val="0035401D"/>
    <w:rsid w:val="00367BA9"/>
    <w:rsid w:val="003B7552"/>
    <w:rsid w:val="003D3F57"/>
    <w:rsid w:val="00411178"/>
    <w:rsid w:val="00533AE6"/>
    <w:rsid w:val="00665F41"/>
    <w:rsid w:val="006D31A1"/>
    <w:rsid w:val="007F5060"/>
    <w:rsid w:val="009645B2"/>
    <w:rsid w:val="00985DDF"/>
    <w:rsid w:val="00AF1487"/>
    <w:rsid w:val="00B1629A"/>
    <w:rsid w:val="00B72513"/>
    <w:rsid w:val="00BB60C1"/>
    <w:rsid w:val="00C051E7"/>
    <w:rsid w:val="00D31032"/>
    <w:rsid w:val="00D63DF4"/>
    <w:rsid w:val="00DD3FAB"/>
    <w:rsid w:val="00E22350"/>
    <w:rsid w:val="00E41211"/>
    <w:rsid w:val="00F2693D"/>
    <w:rsid w:val="00F43CD4"/>
    <w:rsid w:val="053E078F"/>
    <w:rsid w:val="065A33C8"/>
    <w:rsid w:val="0A004B72"/>
    <w:rsid w:val="0C536CCF"/>
    <w:rsid w:val="0F0B3FE0"/>
    <w:rsid w:val="10416653"/>
    <w:rsid w:val="133A3345"/>
    <w:rsid w:val="134B2683"/>
    <w:rsid w:val="1440756D"/>
    <w:rsid w:val="1F8920BE"/>
    <w:rsid w:val="20413DE5"/>
    <w:rsid w:val="22DC0895"/>
    <w:rsid w:val="23796F74"/>
    <w:rsid w:val="237E628E"/>
    <w:rsid w:val="2CAE57B1"/>
    <w:rsid w:val="36CE2556"/>
    <w:rsid w:val="36F71372"/>
    <w:rsid w:val="383167FB"/>
    <w:rsid w:val="38691252"/>
    <w:rsid w:val="3BE40B01"/>
    <w:rsid w:val="408F3628"/>
    <w:rsid w:val="48A10143"/>
    <w:rsid w:val="51554634"/>
    <w:rsid w:val="51C1222D"/>
    <w:rsid w:val="57791644"/>
    <w:rsid w:val="58C4663B"/>
    <w:rsid w:val="5F727F12"/>
    <w:rsid w:val="601223CC"/>
    <w:rsid w:val="61A45ACC"/>
    <w:rsid w:val="61D1408E"/>
    <w:rsid w:val="64075E41"/>
    <w:rsid w:val="66E53781"/>
    <w:rsid w:val="67B80FE3"/>
    <w:rsid w:val="694411B4"/>
    <w:rsid w:val="6E682CED"/>
    <w:rsid w:val="71576290"/>
    <w:rsid w:val="72357201"/>
    <w:rsid w:val="78332A54"/>
    <w:rsid w:val="791E38A4"/>
    <w:rsid w:val="7B5A772F"/>
    <w:rsid w:val="7F79287C"/>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5B2"/>
    <w:pPr>
      <w:widowControl w:val="0"/>
      <w:jc w:val="both"/>
    </w:pPr>
    <w:rPr>
      <w:rFonts w:ascii="Calibri" w:hAnsi="Calibri"/>
      <w:kern w:val="2"/>
      <w:sz w:val="21"/>
      <w:szCs w:val="21"/>
    </w:rPr>
  </w:style>
  <w:style w:type="paragraph" w:styleId="Heading3">
    <w:name w:val="heading 3"/>
    <w:basedOn w:val="Normal"/>
    <w:next w:val="Normal"/>
    <w:link w:val="3Char"/>
    <w:semiHidden/>
    <w:unhideWhenUsed/>
    <w:qFormat/>
    <w:rsid w:val="00F43CD4"/>
    <w:pPr>
      <w:keepNext/>
      <w:keepLines/>
      <w:spacing w:before="260" w:after="260" w:line="416" w:lineRule="auto"/>
      <w:outlineLvl w:val="2"/>
    </w:pPr>
    <w:rPr>
      <w:b/>
      <w:bCs/>
      <w:sz w:val="32"/>
      <w:szCs w:val="32"/>
    </w:rPr>
  </w:style>
  <w:style w:type="paragraph" w:styleId="Heading4">
    <w:name w:val="heading 4"/>
    <w:basedOn w:val="Heading3"/>
    <w:next w:val="Normal"/>
    <w:link w:val="4Char"/>
    <w:qFormat/>
    <w:rsid w:val="00F43CD4"/>
    <w:pPr>
      <w:spacing w:before="280" w:after="290" w:line="240" w:lineRule="auto"/>
      <w:ind w:firstLine="200" w:firstLineChars="200"/>
      <w:jc w:val="left"/>
      <w:outlineLvl w:val="3"/>
    </w:pPr>
    <w:rPr>
      <w:rFonts w:ascii="Cambria" w:eastAsia="仿宋_GB2312" w:hAnsi="Cambria"/>
      <w:bCs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9645B2"/>
    <w:pPr>
      <w:tabs>
        <w:tab w:val="center" w:pos="4153"/>
        <w:tab w:val="right" w:pos="8306"/>
      </w:tabs>
      <w:snapToGrid w:val="0"/>
      <w:jc w:val="left"/>
    </w:pPr>
    <w:rPr>
      <w:kern w:val="0"/>
      <w:sz w:val="18"/>
      <w:szCs w:val="18"/>
    </w:rPr>
  </w:style>
  <w:style w:type="paragraph" w:styleId="Header">
    <w:name w:val="header"/>
    <w:basedOn w:val="Normal"/>
    <w:rsid w:val="009645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Preformatted">
    <w:name w:val="HTML Preformatted"/>
    <w:basedOn w:val="Normal"/>
    <w:qFormat/>
    <w:rsid w:val="0096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customStyle="1" w:styleId="2">
    <w:name w:val="样式 首行缩进:  2 字符"/>
    <w:basedOn w:val="Normal"/>
    <w:qFormat/>
    <w:rsid w:val="009645B2"/>
    <w:pPr>
      <w:ind w:firstLine="560" w:firstLineChars="200"/>
    </w:pPr>
    <w:rPr>
      <w:rFonts w:ascii="Times New Roman" w:eastAsia="仿宋_GB2312" w:hAnsi="Times New Roman" w:cs="宋体"/>
      <w:sz w:val="24"/>
      <w:szCs w:val="24"/>
    </w:rPr>
  </w:style>
  <w:style w:type="paragraph" w:customStyle="1" w:styleId="1">
    <w:name w:val="列出段落1"/>
    <w:basedOn w:val="Normal"/>
    <w:qFormat/>
    <w:rsid w:val="009645B2"/>
    <w:pPr>
      <w:ind w:firstLine="420" w:firstLineChars="200"/>
    </w:pPr>
  </w:style>
  <w:style w:type="character" w:customStyle="1" w:styleId="font61">
    <w:name w:val="font61"/>
    <w:basedOn w:val="DefaultParagraphFont"/>
    <w:rsid w:val="009645B2"/>
    <w:rPr>
      <w:rFonts w:ascii="宋体" w:eastAsia="宋体" w:hAnsi="宋体" w:cs="宋体" w:hint="eastAsia"/>
      <w:color w:val="000000"/>
      <w:sz w:val="16"/>
      <w:szCs w:val="16"/>
      <w:u w:val="none"/>
    </w:rPr>
  </w:style>
  <w:style w:type="character" w:customStyle="1" w:styleId="font31">
    <w:name w:val="font31"/>
    <w:basedOn w:val="DefaultParagraphFont"/>
    <w:rsid w:val="009645B2"/>
    <w:rPr>
      <w:rFonts w:ascii="宋体" w:eastAsia="宋体" w:hAnsi="宋体" w:cs="宋体" w:hint="eastAsia"/>
      <w:color w:val="000000"/>
      <w:sz w:val="17"/>
      <w:szCs w:val="17"/>
      <w:u w:val="none"/>
    </w:rPr>
  </w:style>
  <w:style w:type="character" w:customStyle="1" w:styleId="font51">
    <w:name w:val="font51"/>
    <w:basedOn w:val="DefaultParagraphFont"/>
    <w:rsid w:val="009645B2"/>
    <w:rPr>
      <w:rFonts w:ascii="宋体" w:eastAsia="宋体" w:hAnsi="宋体" w:cs="宋体" w:hint="eastAsia"/>
      <w:color w:val="000000"/>
      <w:sz w:val="10"/>
      <w:szCs w:val="10"/>
      <w:u w:val="none"/>
    </w:rPr>
  </w:style>
  <w:style w:type="character" w:customStyle="1" w:styleId="font41">
    <w:name w:val="font41"/>
    <w:basedOn w:val="DefaultParagraphFont"/>
    <w:rsid w:val="009645B2"/>
    <w:rPr>
      <w:rFonts w:ascii="Times New Roman" w:hAnsi="Times New Roman" w:cs="Times New Roman" w:hint="default"/>
      <w:color w:val="000000"/>
      <w:sz w:val="10"/>
      <w:szCs w:val="10"/>
      <w:u w:val="none"/>
    </w:rPr>
  </w:style>
  <w:style w:type="paragraph" w:customStyle="1" w:styleId="Bodytext3">
    <w:name w:val="Body text|3"/>
    <w:basedOn w:val="Normal"/>
    <w:qFormat/>
    <w:rsid w:val="00D31032"/>
    <w:pPr>
      <w:spacing w:after="180"/>
      <w:jc w:val="center"/>
    </w:pPr>
    <w:rPr>
      <w:rFonts w:ascii="宋体" w:hAnsi="宋体" w:cs="宋体"/>
      <w:color w:val="000000"/>
      <w:kern w:val="0"/>
      <w:sz w:val="40"/>
      <w:szCs w:val="40"/>
      <w:lang w:val="zh-TW" w:eastAsia="zh-TW" w:bidi="zh-TW"/>
    </w:rPr>
  </w:style>
  <w:style w:type="paragraph" w:customStyle="1" w:styleId="Bodytext5">
    <w:name w:val="Body text|5"/>
    <w:basedOn w:val="Normal"/>
    <w:qFormat/>
    <w:rsid w:val="00D31032"/>
    <w:pPr>
      <w:spacing w:after="100"/>
      <w:ind w:left="3840"/>
      <w:jc w:val="left"/>
    </w:pPr>
    <w:rPr>
      <w:rFonts w:ascii="宋体" w:hAnsi="宋体" w:cs="宋体"/>
      <w:color w:val="000000"/>
      <w:kern w:val="0"/>
      <w:sz w:val="19"/>
      <w:szCs w:val="19"/>
      <w:lang w:val="zh-TW" w:eastAsia="zh-TW" w:bidi="zh-TW"/>
    </w:rPr>
  </w:style>
  <w:style w:type="character" w:customStyle="1" w:styleId="4Char">
    <w:name w:val="标题 4 Char"/>
    <w:basedOn w:val="DefaultParagraphFont"/>
    <w:link w:val="Heading4"/>
    <w:qFormat/>
    <w:rsid w:val="00F43CD4"/>
    <w:rPr>
      <w:rFonts w:ascii="Cambria" w:eastAsia="仿宋_GB2312" w:hAnsi="Cambria"/>
      <w:b/>
      <w:kern w:val="2"/>
      <w:sz w:val="28"/>
    </w:rPr>
  </w:style>
  <w:style w:type="character" w:customStyle="1" w:styleId="3Char">
    <w:name w:val="标题 3 Char"/>
    <w:basedOn w:val="DefaultParagraphFont"/>
    <w:link w:val="Heading3"/>
    <w:semiHidden/>
    <w:rsid w:val="00F43CD4"/>
    <w:rPr>
      <w:rFonts w:ascii="Calibri" w:hAnsi="Calibr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446</Words>
  <Characters>2544</Characters>
  <Application>Microsoft Office Word</Application>
  <DocSecurity>0</DocSecurity>
  <Lines>21</Lines>
  <Paragraphs>5</Paragraphs>
  <ScaleCrop>false</ScaleCrop>
  <Company>China</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dreamsummit</cp:lastModifiedBy>
  <cp:revision>16</cp:revision>
  <cp:lastPrinted>2020-08-14T04:07:00Z</cp:lastPrinted>
  <dcterms:created xsi:type="dcterms:W3CDTF">2021-01-14T07:56:00Z</dcterms:created>
  <dcterms:modified xsi:type="dcterms:W3CDTF">2021-03-05T06:34:00Z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