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60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>承德市双桥区</w:t>
      </w:r>
      <w:r>
        <w:rPr>
          <w:rFonts w:hint="eastAsia" w:ascii="宋体" w:hAnsi="宋体"/>
          <w:b/>
          <w:sz w:val="36"/>
          <w:szCs w:val="36"/>
        </w:rPr>
        <w:t>卫健局202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>“双随机”抽查结果公示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第七批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2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2551"/>
        <w:gridCol w:w="1560"/>
        <w:gridCol w:w="1275"/>
        <w:gridCol w:w="3402"/>
        <w:gridCol w:w="1418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被抽查单位</w:t>
            </w:r>
          </w:p>
        </w:tc>
        <w:tc>
          <w:tcPr>
            <w:tcW w:w="2551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检查依据</w:t>
            </w:r>
          </w:p>
        </w:tc>
        <w:tc>
          <w:tcPr>
            <w:tcW w:w="1560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检查方式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抽查时间</w:t>
            </w:r>
          </w:p>
        </w:tc>
        <w:tc>
          <w:tcPr>
            <w:tcW w:w="3402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检查事项</w:t>
            </w:r>
          </w:p>
        </w:tc>
        <w:tc>
          <w:tcPr>
            <w:tcW w:w="1418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抽查结果（合格/不合格）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处理依据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处理结果及意见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ascii="仿宋" w:hAnsi="仿宋" w:eastAsia="仿宋"/>
                <w:b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after="160"/>
              <w:jc w:val="left"/>
              <w:rPr>
                <w:rFonts w:hint="eastAsia" w:ascii="仿宋" w:hAnsi="仿宋" w:eastAsia="仿宋"/>
                <w:b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安定里加压站</w:t>
            </w:r>
          </w:p>
        </w:tc>
        <w:tc>
          <w:tcPr>
            <w:tcW w:w="2551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《生活饮用水卫生标准》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《生活饮用水卫生监督管理办法》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《中华人民共和国传染病防治法》《生活饮用水卫生标准》《二次洪水设施卫生规范》</w:t>
            </w:r>
          </w:p>
        </w:tc>
        <w:tc>
          <w:tcPr>
            <w:tcW w:w="1560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双随机抽检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2024年6月21日</w:t>
            </w:r>
          </w:p>
        </w:tc>
        <w:tc>
          <w:tcPr>
            <w:tcW w:w="3402" w:type="dxa"/>
            <w:vAlign w:val="center"/>
          </w:tcPr>
          <w:p>
            <w:pPr>
              <w:pStyle w:val="37"/>
              <w:numPr>
                <w:ilvl w:val="0"/>
                <w:numId w:val="1"/>
              </w:numPr>
              <w:spacing w:after="160" w:line="320" w:lineRule="exact"/>
              <w:ind w:firstLine="0"/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二次供水设施供管水人员健康体检和培训</w:t>
            </w:r>
          </w:p>
          <w:p>
            <w:pPr>
              <w:pStyle w:val="37"/>
              <w:numPr>
                <w:ilvl w:val="0"/>
                <w:numId w:val="1"/>
              </w:numPr>
              <w:spacing w:after="160" w:line="320" w:lineRule="exact"/>
              <w:ind w:firstLine="0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卫生防护及周围环境</w:t>
            </w:r>
          </w:p>
          <w:p>
            <w:pPr>
              <w:pStyle w:val="37"/>
              <w:numPr>
                <w:ilvl w:val="0"/>
                <w:numId w:val="1"/>
              </w:numPr>
              <w:spacing w:after="160" w:line="320" w:lineRule="exact"/>
              <w:ind w:firstLine="0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储水设备清洗消毒</w:t>
            </w:r>
          </w:p>
          <w:p>
            <w:pPr>
              <w:pStyle w:val="37"/>
              <w:numPr>
                <w:ilvl w:val="0"/>
                <w:numId w:val="1"/>
              </w:numPr>
              <w:spacing w:after="160" w:line="320" w:lineRule="exact"/>
              <w:ind w:firstLine="0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水质自检</w:t>
            </w:r>
          </w:p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jc w:val="left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5.组织制度及突发事件应急预案</w:t>
            </w:r>
          </w:p>
        </w:tc>
        <w:tc>
          <w:tcPr>
            <w:tcW w:w="1418" w:type="dxa"/>
            <w:vAlign w:val="center"/>
          </w:tcPr>
          <w:p>
            <w:pPr>
              <w:spacing w:after="160"/>
              <w:ind w:firstLine="105" w:firstLineChars="50"/>
              <w:jc w:val="left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after="160"/>
              <w:jc w:val="left"/>
              <w:rPr>
                <w:rFonts w:hint="eastAsia" w:ascii="仿宋" w:hAnsi="仿宋" w:eastAsia="仿宋"/>
                <w:b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碧峰门加压站</w:t>
            </w:r>
          </w:p>
        </w:tc>
        <w:tc>
          <w:tcPr>
            <w:tcW w:w="2551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《生活饮用水卫生标准》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《生活饮用水卫生监督管理办法》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《中华人民共和国传染病防治法》《生活饮用水卫生标准》《二次洪水设施卫生规范》</w:t>
            </w:r>
          </w:p>
        </w:tc>
        <w:tc>
          <w:tcPr>
            <w:tcW w:w="1560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双随机抽检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 w:cs="Times New Roman"/>
                <w:b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2024年6月21日</w:t>
            </w:r>
          </w:p>
        </w:tc>
        <w:tc>
          <w:tcPr>
            <w:tcW w:w="3402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1.二次供水设施供管水人员健康体检和培训</w:t>
            </w:r>
          </w:p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2.卫生防护及周围环境</w:t>
            </w:r>
          </w:p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3.储水设备清洗消毒</w:t>
            </w:r>
          </w:p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4.水质自检</w:t>
            </w:r>
          </w:p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ind w:left="0" w:leftChars="0" w:firstLine="0" w:firstLineChars="0"/>
              <w:jc w:val="left"/>
              <w:rPr>
                <w:rFonts w:ascii="仿宋" w:hAnsi="仿宋" w:eastAsia="仿宋" w:cs="Times New Roman"/>
                <w:b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  <w:t>5.组织制度及突发事件应急预案</w:t>
            </w:r>
          </w:p>
        </w:tc>
        <w:tc>
          <w:tcPr>
            <w:tcW w:w="1418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海盾.AI智慧水站（现场制售水机）草市小区3号楼3单元。</w:t>
            </w:r>
          </w:p>
        </w:tc>
        <w:tc>
          <w:tcPr>
            <w:tcW w:w="2551" w:type="dxa"/>
            <w:vAlign w:val="center"/>
          </w:tcPr>
          <w:p>
            <w:pPr>
              <w:spacing w:after="160"/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《生活饮用水卫生标准》《中华人民共和国传染病防治法》《</w:t>
            </w: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河北省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生活饮用水</w:t>
            </w: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卫生监督管理办法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》</w:t>
            </w:r>
          </w:p>
        </w:tc>
        <w:tc>
          <w:tcPr>
            <w:tcW w:w="1560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双随机抽检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/>
                <w:b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2024年6月24日</w:t>
            </w:r>
          </w:p>
        </w:tc>
        <w:tc>
          <w:tcPr>
            <w:tcW w:w="3402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rPr>
                <w:rFonts w:hint="default" w:ascii="仿宋" w:hAnsi="仿宋" w:eastAsia="仿宋"/>
                <w:b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1.卫生管理制度 2.涉水产品卫生许可批件 3.水机周围环境卫生 4.从业人员健康证</w:t>
            </w:r>
          </w:p>
        </w:tc>
        <w:tc>
          <w:tcPr>
            <w:tcW w:w="1418" w:type="dxa"/>
            <w:vAlign w:val="center"/>
          </w:tcPr>
          <w:p>
            <w:pPr>
              <w:spacing w:after="160"/>
              <w:jc w:val="left"/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现场制售水机车站路武阳小区</w:t>
            </w:r>
          </w:p>
        </w:tc>
        <w:tc>
          <w:tcPr>
            <w:tcW w:w="2551" w:type="dxa"/>
            <w:vAlign w:val="center"/>
          </w:tcPr>
          <w:p>
            <w:pPr>
              <w:spacing w:after="160"/>
              <w:rPr>
                <w:rFonts w:hint="default" w:ascii="仿宋" w:hAnsi="仿宋" w:eastAsia="仿宋"/>
                <w:b/>
                <w:color w:val="000000" w:themeColor="text1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《生活饮用水卫生标准》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《生活饮用水卫生监督管理办法》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《中华人民共和国传染病防治法》《</w:t>
            </w: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河北省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生活饮用水</w:t>
            </w: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卫生监督管理办法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》</w:t>
            </w:r>
          </w:p>
        </w:tc>
        <w:tc>
          <w:tcPr>
            <w:tcW w:w="1560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/>
                <w:b/>
                <w:color w:val="000000" w:themeColor="text1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双随机抽检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/>
                <w:b/>
                <w:color w:val="000000" w:themeColor="text1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2024年6月24日</w:t>
            </w:r>
          </w:p>
        </w:tc>
        <w:tc>
          <w:tcPr>
            <w:tcW w:w="3402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rPr>
                <w:rFonts w:hint="default" w:ascii="仿宋" w:hAnsi="仿宋" w:eastAsia="仿宋"/>
                <w:b/>
                <w:color w:val="000000" w:themeColor="text1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1.卫生管理制度 2.涉水产品卫生许可批件 3.水机周围环境卫生 4.从业人员健康证</w:t>
            </w:r>
          </w:p>
        </w:tc>
        <w:tc>
          <w:tcPr>
            <w:tcW w:w="1418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/>
                <w:b/>
                <w:color w:val="000000" w:themeColor="text1"/>
                <w:lang w:val="en-US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/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left"/>
              <w:rPr>
                <w:rFonts w:ascii="仿宋" w:hAnsi="仿宋" w:eastAsia="仿宋"/>
                <w:b/>
                <w:color w:val="000000" w:themeColor="text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after="160"/>
              <w:jc w:val="left"/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海盾.AI智慧水站（现场制售水机）义泰兴小区6号楼1单元。</w:t>
            </w:r>
          </w:p>
        </w:tc>
        <w:tc>
          <w:tcPr>
            <w:tcW w:w="2551" w:type="dxa"/>
            <w:vAlign w:val="center"/>
          </w:tcPr>
          <w:p>
            <w:pPr>
              <w:spacing w:after="160"/>
              <w:rPr>
                <w:rFonts w:hint="default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《生活饮用水卫生标准》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《生活饮用水卫生监督管理办法》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《中华人民共和国传染病防治法》《</w:t>
            </w: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河北省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生活饮用水</w:t>
            </w: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卫生监督管理办法</w:t>
            </w: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》</w:t>
            </w:r>
          </w:p>
        </w:tc>
        <w:tc>
          <w:tcPr>
            <w:tcW w:w="1560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color w:val="000000" w:themeColor="text1"/>
              </w:rPr>
              <w:t>双随机抽检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2024年6月24日</w:t>
            </w:r>
          </w:p>
        </w:tc>
        <w:tc>
          <w:tcPr>
            <w:tcW w:w="3402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spacing w:after="160" w:line="320" w:lineRule="exact"/>
              <w:ind w:left="0" w:leftChars="0" w:firstLine="0" w:firstLineChars="0"/>
              <w:rPr>
                <w:rFonts w:hint="default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lang w:val="en-US" w:eastAsia="zh-CN"/>
              </w:rPr>
              <w:t>1.卫生管理制度 2.涉水产品卫生许可批件 3.水机周围环境卫生 4.从业人员健康证</w:t>
            </w:r>
          </w:p>
        </w:tc>
        <w:tc>
          <w:tcPr>
            <w:tcW w:w="1418" w:type="dxa"/>
            <w:vAlign w:val="center"/>
          </w:tcPr>
          <w:p>
            <w:pPr>
              <w:spacing w:after="160"/>
              <w:jc w:val="left"/>
              <w:rPr>
                <w:rFonts w:hint="default" w:ascii="仿宋" w:hAnsi="仿宋" w:eastAsia="仿宋" w:cs="Times New Roman"/>
                <w:b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spacing w:after="160"/>
              <w:rPr>
                <w:rFonts w:ascii="仿宋" w:hAnsi="仿宋" w:eastAsia="仿宋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/>
                <w:b/>
                <w:color w:val="000000" w:themeColor="text1"/>
              </w:rPr>
            </w:pPr>
          </w:p>
        </w:tc>
      </w:tr>
    </w:tbl>
    <w:p>
      <w:pPr>
        <w:wordWrap w:val="0"/>
        <w:jc w:val="left"/>
        <w:rPr>
          <w:rFonts w:ascii="宋体" w:hAnsi="宋体"/>
          <w:b/>
          <w:sz w:val="20"/>
          <w:szCs w:val="20"/>
        </w:rPr>
      </w:pPr>
    </w:p>
    <w:sectPr>
      <w:pgSz w:w="16838" w:h="11906" w:orient="landscape"/>
      <w:pgMar w:top="567" w:right="567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94325"/>
    <w:multiLevelType w:val="singleLevel"/>
    <w:tmpl w:val="F45943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c5NTIxY2RhN2Q3MDFhMjdhMzcyYmJiMjRmNmU4MDkifQ=="/>
  </w:docVars>
  <w:rsids>
    <w:rsidRoot w:val="005A6DD0"/>
    <w:rsid w:val="00011469"/>
    <w:rsid w:val="000156A1"/>
    <w:rsid w:val="000621B7"/>
    <w:rsid w:val="0012116F"/>
    <w:rsid w:val="00177323"/>
    <w:rsid w:val="00240B29"/>
    <w:rsid w:val="00292C32"/>
    <w:rsid w:val="002F2D51"/>
    <w:rsid w:val="00332624"/>
    <w:rsid w:val="00352743"/>
    <w:rsid w:val="00377C9A"/>
    <w:rsid w:val="00383C86"/>
    <w:rsid w:val="003C7AB1"/>
    <w:rsid w:val="00404311"/>
    <w:rsid w:val="00471EFC"/>
    <w:rsid w:val="00472825"/>
    <w:rsid w:val="0047643C"/>
    <w:rsid w:val="00484517"/>
    <w:rsid w:val="00507176"/>
    <w:rsid w:val="005858E0"/>
    <w:rsid w:val="005A6DD0"/>
    <w:rsid w:val="005D6CB9"/>
    <w:rsid w:val="005F3BA6"/>
    <w:rsid w:val="006077D8"/>
    <w:rsid w:val="00672175"/>
    <w:rsid w:val="006A2A31"/>
    <w:rsid w:val="006B305E"/>
    <w:rsid w:val="00742566"/>
    <w:rsid w:val="00781451"/>
    <w:rsid w:val="00786661"/>
    <w:rsid w:val="00790E5F"/>
    <w:rsid w:val="007F3299"/>
    <w:rsid w:val="00843BDB"/>
    <w:rsid w:val="0088026E"/>
    <w:rsid w:val="00905793"/>
    <w:rsid w:val="00907FB2"/>
    <w:rsid w:val="0094577B"/>
    <w:rsid w:val="00955463"/>
    <w:rsid w:val="00962176"/>
    <w:rsid w:val="0097778E"/>
    <w:rsid w:val="009D7F91"/>
    <w:rsid w:val="00AB2BAF"/>
    <w:rsid w:val="00AE593B"/>
    <w:rsid w:val="00AF7E12"/>
    <w:rsid w:val="00B01FB6"/>
    <w:rsid w:val="00B46362"/>
    <w:rsid w:val="00B51BEF"/>
    <w:rsid w:val="00B54DCF"/>
    <w:rsid w:val="00B95A3C"/>
    <w:rsid w:val="00BC6A2D"/>
    <w:rsid w:val="00BE39A0"/>
    <w:rsid w:val="00C204B2"/>
    <w:rsid w:val="00CA07D9"/>
    <w:rsid w:val="00D43FDB"/>
    <w:rsid w:val="00DA6371"/>
    <w:rsid w:val="00DB15C8"/>
    <w:rsid w:val="00E259A8"/>
    <w:rsid w:val="00E4778C"/>
    <w:rsid w:val="00EF2CC2"/>
    <w:rsid w:val="00EF6028"/>
    <w:rsid w:val="00F15BE0"/>
    <w:rsid w:val="00F44E2E"/>
    <w:rsid w:val="00F54F04"/>
    <w:rsid w:val="00F6672B"/>
    <w:rsid w:val="00F754B2"/>
    <w:rsid w:val="0D6E3D36"/>
    <w:rsid w:val="1E3955F5"/>
    <w:rsid w:val="1F695280"/>
    <w:rsid w:val="28D771FC"/>
    <w:rsid w:val="36CB1BC3"/>
    <w:rsid w:val="62A71F35"/>
    <w:rsid w:val="6E6C15F1"/>
    <w:rsid w:val="731842A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autoRedefine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9"/>
    <w:autoRedefine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autoRedefine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autoRedefine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autoRedefine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5">
    <w:name w:val="Table Grid"/>
    <w:basedOn w:val="24"/>
    <w:autoRedefine/>
    <w:qFormat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basedOn w:val="1"/>
    <w:qFormat/>
    <w:uiPriority w:val="26"/>
    <w:pPr>
      <w:ind w:firstLine="420"/>
    </w:p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6"/>
    <w:semiHidden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text"/>
    <w:basedOn w:val="2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733</Words>
  <Characters>778</Characters>
  <Lines>12</Lines>
  <Paragraphs>3</Paragraphs>
  <TotalTime>1</TotalTime>
  <ScaleCrop>false</ScaleCrop>
  <LinksUpToDate>false</LinksUpToDate>
  <CharactersWithSpaces>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2018-08-31T08:00:00Z</dcterms:created>
  <dc:creator>Administrator</dc:creator>
  <cp:lastModifiedBy>融媒体中心3</cp:lastModifiedBy>
  <dcterms:modified xsi:type="dcterms:W3CDTF">2024-07-10T03:45:43Z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E2074B463D5B4D798CB06B01A7A1D65A_12</vt:lpwstr>
  </property>
</Properties>
</file>