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overflowPunct w:val="0"/>
        <w:adjustRightInd w:val="0"/>
        <w:snapToGrid w:val="0"/>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关于双桥区2022年财政预算执行情况和</w:t>
      </w:r>
    </w:p>
    <w:p>
      <w:pPr>
        <w:overflowPunct w:val="0"/>
        <w:adjustRightInd w:val="0"/>
        <w:snapToGrid w:val="0"/>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2023年财政预算（草案）的报告</w:t>
      </w:r>
    </w:p>
    <w:p>
      <w:pPr>
        <w:overflowPunct w:val="0"/>
        <w:adjustRightInd w:val="0"/>
        <w:snapToGrid w:val="0"/>
        <w:spacing w:line="560" w:lineRule="exact"/>
        <w:ind w:firstLine="640" w:firstLineChars="200"/>
        <w:rPr>
          <w:rFonts w:ascii="仿宋_GB2312" w:eastAsia="仿宋_GB2312" w:hAnsi="仿宋"/>
          <w:sz w:val="32"/>
          <w:szCs w:val="32"/>
        </w:rPr>
      </w:pPr>
    </w:p>
    <w:p>
      <w:pPr>
        <w:overflowPunct w:val="0"/>
        <w:autoSpaceDE w:val="0"/>
        <w:autoSpaceDN w:val="0"/>
        <w:adjustRightInd w:val="0"/>
        <w:snapToGrid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受区政府委托，向大会提交2022年财政预算执行情况和2023年财政预算（草案）的报告，请予审议，并请区人大各位委员和其他列席人员提出意见。</w:t>
      </w:r>
    </w:p>
    <w:p>
      <w:pPr>
        <w:overflowPunct w:val="0"/>
        <w:autoSpaceDE w:val="0"/>
        <w:autoSpaceDN w:val="0"/>
        <w:adjustRightInd w:val="0"/>
        <w:snapToGrid w:val="0"/>
        <w:spacing w:line="560" w:lineRule="exact"/>
        <w:ind w:firstLine="640" w:firstLineChars="200"/>
        <w:rPr>
          <w:rFonts w:ascii="黑体" w:eastAsia="黑体" w:hAnsi="黑体"/>
          <w:sz w:val="32"/>
          <w:szCs w:val="32"/>
        </w:rPr>
      </w:pPr>
      <w:r>
        <w:rPr>
          <w:rFonts w:ascii="黑体" w:eastAsia="黑体" w:hAnsi="黑体" w:hint="eastAsia"/>
          <w:sz w:val="32"/>
          <w:szCs w:val="32"/>
        </w:rPr>
        <w:t>一、2022年财政预算执行情况</w:t>
      </w:r>
    </w:p>
    <w:p>
      <w:pPr>
        <w:overflowPunct w:val="0"/>
        <w:autoSpaceDE w:val="0"/>
        <w:autoSpaceDN w:val="0"/>
        <w:adjustRightInd w:val="0"/>
        <w:snapToGrid w:val="0"/>
        <w:spacing w:line="560" w:lineRule="exact"/>
        <w:ind w:firstLine="640" w:firstLineChars="200"/>
        <w:rPr>
          <w:rFonts w:ascii="仿宋_GB2312" w:eastAsia="仿宋_GB2312" w:hAnsi="仿宋" w:cs="宋体"/>
          <w:kern w:val="0"/>
          <w:sz w:val="32"/>
          <w:szCs w:val="32"/>
        </w:rPr>
      </w:pPr>
      <w:r>
        <w:rPr>
          <w:rFonts w:ascii="仿宋_GB2312" w:eastAsia="仿宋_GB2312" w:hAnsi="仿宋" w:cs="宋体" w:hint="eastAsia"/>
          <w:kern w:val="0"/>
          <w:sz w:val="32"/>
          <w:szCs w:val="32"/>
        </w:rPr>
        <w:t>2022年</w:t>
      </w:r>
      <w:r>
        <w:rPr>
          <w:rFonts w:ascii="仿宋_GB2312" w:eastAsia="仿宋_GB2312" w:hAnsi="黑体" w:cs="宋体" w:hint="eastAsia"/>
          <w:color w:val="000000"/>
          <w:kern w:val="0"/>
          <w:sz w:val="32"/>
          <w:szCs w:val="32"/>
        </w:rPr>
        <w:t>是党的二十大召开之年，是向第二个百年奋斗目标进军的重要之年，</w:t>
      </w:r>
      <w:r>
        <w:rPr>
          <w:rFonts w:ascii="仿宋_GB2312" w:eastAsia="仿宋_GB2312" w:hAnsi="仿宋" w:hint="eastAsia"/>
          <w:sz w:val="32"/>
          <w:szCs w:val="32"/>
        </w:rPr>
        <w:t>全区财税部门在区委的正确领导下，</w:t>
      </w:r>
      <w:r>
        <w:rPr>
          <w:rFonts w:ascii="仿宋_GB2312" w:eastAsia="仿宋_GB2312" w:hAnsi="仿宋" w:cs="宋体" w:hint="eastAsia"/>
          <w:kern w:val="0"/>
          <w:sz w:val="32"/>
          <w:szCs w:val="32"/>
        </w:rPr>
        <w:t>坚持以习近平</w:t>
      </w:r>
      <w:r>
        <w:rPr>
          <w:rFonts w:ascii="仿宋_GB2312" w:eastAsia="仿宋_GB2312" w:hAnsi="仿宋" w:hint="eastAsia"/>
          <w:sz w:val="32"/>
          <w:szCs w:val="32"/>
        </w:rPr>
        <w:t>新时代中国特色社会主义经济思想为统领</w:t>
      </w:r>
      <w:r>
        <w:rPr>
          <w:rFonts w:ascii="仿宋_GB2312" w:eastAsia="仿宋_GB2312" w:hAnsi="仿宋" w:cs="宋体" w:hint="eastAsia"/>
          <w:kern w:val="0"/>
          <w:sz w:val="32"/>
          <w:szCs w:val="32"/>
        </w:rPr>
        <w:t>，认真贯彻执行中央、省、市各项决策部署，坚持新发展理念，努力克服新冠肺炎疫情带来的不利影响，做好“六稳”工作，落实“六保”任务，加强执行管理，主动加压、负重奋进，有力推动全区经济社会持续健康发展。</w:t>
      </w:r>
    </w:p>
    <w:p>
      <w:pPr>
        <w:overflowPunct w:val="0"/>
        <w:autoSpaceDE w:val="0"/>
        <w:autoSpaceDN w:val="0"/>
        <w:adjustRightInd w:val="0"/>
        <w:snapToGrid w:val="0"/>
        <w:spacing w:line="560" w:lineRule="exact"/>
        <w:ind w:firstLine="640" w:firstLineChars="200"/>
        <w:rPr>
          <w:rFonts w:ascii="楷体_GB2312" w:eastAsia="楷体_GB2312" w:hAnsi="仿宋"/>
          <w:b/>
          <w:sz w:val="32"/>
          <w:szCs w:val="32"/>
        </w:rPr>
      </w:pPr>
      <w:r>
        <w:rPr>
          <w:rFonts w:ascii="楷体_GB2312" w:eastAsia="楷体_GB2312" w:hAnsi="仿宋" w:hint="eastAsia"/>
          <w:b/>
          <w:sz w:val="32"/>
          <w:szCs w:val="32"/>
        </w:rPr>
        <w:t>（一）着力优化财政收支，确保财政运行平稳</w:t>
      </w:r>
    </w:p>
    <w:p>
      <w:pPr>
        <w:overflowPunct w:val="0"/>
        <w:autoSpaceDE w:val="0"/>
        <w:autoSpaceDN w:val="0"/>
        <w:adjustRightInd w:val="0"/>
        <w:snapToGrid w:val="0"/>
        <w:spacing w:line="560" w:lineRule="exact"/>
        <w:ind w:firstLine="640" w:firstLineChars="200"/>
        <w:rPr>
          <w:rFonts w:eastAsia="楷体_GB2312"/>
          <w:b/>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树牢“保收入就是保大局”意识，财税部门紧密配合，密切监测宏观经济运行及重点行业市场变化，加强对财政收入形势的分析研判，加大税收与非税收入征缴力度，牢牢掌握组织收入工作的主动权。</w:t>
      </w:r>
      <w:r>
        <w:rPr>
          <w:rFonts w:ascii="仿宋_GB2312" w:eastAsia="仿宋_GB2312" w:hint="eastAsia"/>
          <w:bCs/>
          <w:sz w:val="32"/>
          <w:szCs w:val="32"/>
        </w:rPr>
        <w:t>全年</w:t>
      </w:r>
      <w:r>
        <w:rPr>
          <w:rFonts w:ascii="仿宋_GB2312" w:eastAsia="仿宋_GB2312" w:hAnsi="仿宋" w:hint="eastAsia"/>
          <w:color w:val="000000"/>
          <w:sz w:val="32"/>
          <w:szCs w:val="32"/>
        </w:rPr>
        <w:t>公共预算</w:t>
      </w:r>
      <w:r>
        <w:rPr>
          <w:rFonts w:ascii="仿宋_GB2312" w:eastAsia="仿宋_GB2312" w:hAnsi="仿宋" w:hint="eastAsia"/>
          <w:bCs/>
          <w:color w:val="000000"/>
          <w:sz w:val="32"/>
          <w:szCs w:val="32"/>
        </w:rPr>
        <w:t>收入实现124451万元，完成调整预算的100.1%</w:t>
      </w:r>
      <w:r>
        <w:rPr>
          <w:rFonts w:ascii="仿宋_GB2312" w:eastAsia="仿宋_GB2312" w:hAnsi="仿宋" w:cs="仿宋_GB2312" w:hint="eastAsia"/>
          <w:color w:val="000000"/>
          <w:kern w:val="0"/>
          <w:sz w:val="32"/>
          <w:szCs w:val="32"/>
        </w:rPr>
        <w:t>。</w:t>
      </w:r>
      <w:r>
        <w:rPr>
          <w:rFonts w:ascii="仿宋_GB2312" w:eastAsia="仿宋_GB2312" w:hAnsi="仿宋" w:hint="eastAsia"/>
          <w:color w:val="000000" w:themeColor="text1"/>
          <w:sz w:val="32"/>
          <w:szCs w:val="32"/>
        </w:rPr>
        <w:t>全区政府性基金收入完成5704万元，完成调整预算的100%。全区国有资本经营收入完成122万元（全部为转移支付收入）。</w:t>
      </w:r>
      <w:r>
        <w:rPr>
          <w:rFonts w:ascii="仿宋_GB2312" w:eastAsia="仿宋_GB2312" w:hAnsi="仿宋" w:hint="eastAsia"/>
          <w:sz w:val="32"/>
          <w:szCs w:val="32"/>
        </w:rPr>
        <w:t>全区社保基金收入完成95482万元。</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紧紧围绕财政支出提质增效，持续调整优化支出结构，加快重点领域支出，确保有限的财政资金全部用到“刀刃”上，全力保障党委政府的重大决策部署落地落实，全区一般公共预算支出完成237261万元，占调整预算的88.2%。政府性基金预算支出完成19683万元，占调整预算的33.5%。国有资本经营预算支出完成12万元。社保基金预算支出完成91646万元。</w:t>
      </w:r>
    </w:p>
    <w:p>
      <w:pPr>
        <w:overflowPunct w:val="0"/>
        <w:autoSpaceDE w:val="0"/>
        <w:autoSpaceDN w:val="0"/>
        <w:adjustRightInd w:val="0"/>
        <w:snapToGrid w:val="0"/>
        <w:spacing w:line="560" w:lineRule="exact"/>
        <w:ind w:firstLine="640" w:firstLineChars="200"/>
        <w:rPr>
          <w:rFonts w:ascii="楷体_GB2312" w:eastAsia="楷体_GB2312" w:hAnsi="仿宋"/>
          <w:b/>
          <w:sz w:val="32"/>
          <w:szCs w:val="32"/>
        </w:rPr>
      </w:pPr>
      <w:r>
        <w:rPr>
          <w:rFonts w:ascii="楷体_GB2312" w:eastAsia="楷体_GB2312" w:hAnsi="仿宋" w:hint="eastAsia"/>
          <w:b/>
          <w:sz w:val="32"/>
          <w:szCs w:val="32"/>
        </w:rPr>
        <w:t>（二）着力兜牢“三保”底线，保障全区稳定运转</w:t>
      </w:r>
    </w:p>
    <w:p>
      <w:pPr>
        <w:overflowPunct w:val="0"/>
        <w:autoSpaceDE w:val="0"/>
        <w:autoSpaceDN w:val="0"/>
        <w:adjustRightInd w:val="0"/>
        <w:snapToGrid w:val="0"/>
        <w:spacing w:line="560" w:lineRule="exact"/>
        <w:ind w:firstLine="640" w:firstLineChars="200"/>
        <w:rPr>
          <w:rFonts w:ascii="仿宋_GB2312" w:eastAsia="仿宋_GB2312" w:hAnsi="仿宋"/>
          <w:color w:val="000000"/>
          <w:sz w:val="32"/>
          <w:szCs w:val="32"/>
        </w:rPr>
      </w:pPr>
      <w:r>
        <w:rPr>
          <w:rFonts w:ascii="仿宋_GB2312" w:eastAsia="仿宋_GB2312" w:hAnsi="仿宋" w:hint="eastAsia"/>
          <w:sz w:val="32"/>
          <w:szCs w:val="32"/>
        </w:rPr>
        <w:t>努力调整支出结构，着力保障人民群众、干部职工最关心、最直接、最现实的利益问题，坚决兜牢“三保”底线。在收入压力巨大的情况下，财政部门多方筹集和调度资金，足额保障全区人员工资、运转、基本民生支出，全年民生支出累计实现</w:t>
      </w:r>
      <w:r>
        <w:rPr>
          <w:rFonts w:ascii="仿宋_GB2312" w:eastAsia="仿宋_GB2312" w:hAnsi="仿宋" w:hint="eastAsia"/>
          <w:color w:val="000000" w:themeColor="text1"/>
          <w:sz w:val="32"/>
          <w:szCs w:val="32"/>
        </w:rPr>
        <w:t>209422</w:t>
      </w:r>
      <w:r>
        <w:rPr>
          <w:rFonts w:ascii="仿宋_GB2312" w:eastAsia="仿宋_GB2312" w:hAnsi="仿宋" w:hint="eastAsia"/>
          <w:sz w:val="32"/>
          <w:szCs w:val="32"/>
        </w:rPr>
        <w:t>万元，占全部公共预算支出</w:t>
      </w:r>
      <w:r>
        <w:rPr>
          <w:rFonts w:ascii="仿宋_GB2312" w:eastAsia="仿宋_GB2312" w:hAnsi="仿宋" w:hint="eastAsia"/>
          <w:color w:val="000000" w:themeColor="text1"/>
          <w:sz w:val="32"/>
          <w:szCs w:val="32"/>
        </w:rPr>
        <w:t>的88.2%。</w:t>
      </w:r>
    </w:p>
    <w:p>
      <w:pPr>
        <w:overflowPunct w:val="0"/>
        <w:autoSpaceDE w:val="0"/>
        <w:autoSpaceDN w:val="0"/>
        <w:adjustRightInd w:val="0"/>
        <w:snapToGrid w:val="0"/>
        <w:spacing w:line="560" w:lineRule="exact"/>
        <w:ind w:firstLine="640" w:firstLineChars="200"/>
        <w:rPr>
          <w:rFonts w:ascii="仿宋_GB2312" w:eastAsia="仿宋_GB2312" w:hAnsi="仿宋"/>
          <w:color w:val="000000"/>
          <w:sz w:val="32"/>
          <w:szCs w:val="32"/>
        </w:rPr>
      </w:pPr>
      <w:r>
        <w:rPr>
          <w:rFonts w:ascii="仿宋_GB2312" w:eastAsia="仿宋_GB2312" w:hAnsi="仿宋" w:hint="eastAsia"/>
          <w:b/>
          <w:sz w:val="32"/>
          <w:szCs w:val="32"/>
        </w:rPr>
        <w:t>1.足额保障全区公教人员工资性支出。</w:t>
      </w:r>
      <w:r>
        <w:rPr>
          <w:rFonts w:ascii="仿宋_GB2312" w:eastAsia="仿宋_GB2312" w:hAnsi="仿宋_GB2312" w:cs="仿宋_GB2312" w:hint="eastAsia"/>
          <w:color w:val="000000"/>
          <w:sz w:val="32"/>
          <w:szCs w:val="32"/>
        </w:rPr>
        <w:t>为了确保公教人员工资和津补贴及时发放到位，多方筹集资金优先用于工资性支出</w:t>
      </w:r>
      <w:r>
        <w:rPr>
          <w:rFonts w:ascii="仿宋_GB2312" w:eastAsia="仿宋_GB2312" w:hAnsi="仿宋" w:hint="eastAsia"/>
          <w:color w:val="000000"/>
          <w:sz w:val="32"/>
          <w:szCs w:val="32"/>
        </w:rPr>
        <w:t>，较好保障了全区公教人员各项支出政策的落实，全区公教人员工资性支出实现75786万元，占全部公共财政预算支出的32%。</w:t>
      </w:r>
    </w:p>
    <w:p>
      <w:pPr>
        <w:overflowPunct w:val="0"/>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ascii="仿宋_GB2312" w:eastAsia="仿宋_GB2312" w:hAnsi="仿宋" w:hint="eastAsia"/>
          <w:b/>
          <w:sz w:val="32"/>
          <w:szCs w:val="32"/>
        </w:rPr>
        <w:t>2.坚持以人民为中心全面保障民生支出。一是</w:t>
      </w:r>
      <w:r>
        <w:rPr>
          <w:rFonts w:ascii="仿宋_GB2312" w:eastAsia="仿宋_GB2312" w:hAnsi="仿宋" w:hint="eastAsia"/>
          <w:sz w:val="32"/>
          <w:szCs w:val="32"/>
        </w:rPr>
        <w:t>社会保障和就业支出31712万元，落实城乡困难群众、退役军人、城乡居民养老等民生政策执行，贯彻落实就业优先政策，加大重点群体就业帮扶，统筹就业补助、困难群众补助等各类资金，发挥保生活、防失业、促就业的功能作用，守牢社会稳定基本盘。</w:t>
      </w:r>
      <w:r>
        <w:rPr>
          <w:rFonts w:ascii="仿宋_GB2312" w:eastAsia="仿宋_GB2312" w:hAnsi="仿宋" w:hint="eastAsia"/>
          <w:b/>
          <w:sz w:val="32"/>
          <w:szCs w:val="32"/>
        </w:rPr>
        <w:t>二是</w:t>
      </w:r>
      <w:r>
        <w:rPr>
          <w:rFonts w:ascii="仿宋_GB2312" w:eastAsia="仿宋_GB2312" w:hAnsi="仿宋" w:hint="eastAsia"/>
          <w:sz w:val="32"/>
          <w:szCs w:val="32"/>
        </w:rPr>
        <w:t>发展教育事业支出34985万元，促进教育高质量发展，保障教育方面投入，充实教师队伍；</w:t>
      </w:r>
      <w:r>
        <w:rPr>
          <w:rFonts w:ascii="仿宋_GB2312" w:eastAsia="仿宋_GB2312" w:hAnsi="仿宋" w:hint="eastAsia"/>
          <w:color w:val="000000" w:themeColor="text1"/>
          <w:sz w:val="32"/>
          <w:szCs w:val="32"/>
        </w:rPr>
        <w:t>推动学前教育优质普惠发展，普惠性学前教育覆盖率达82%；</w:t>
      </w:r>
      <w:r>
        <w:rPr>
          <w:rFonts w:ascii="仿宋_GB2312" w:eastAsia="仿宋_GB2312" w:hAnsi="仿宋" w:hint="eastAsia"/>
          <w:sz w:val="32"/>
          <w:szCs w:val="32"/>
        </w:rPr>
        <w:t>建设现代城小学，改善基础教育硬件设施；落实家庭经济困难学生资助政策，推进义务教育发展。</w:t>
      </w:r>
      <w:r>
        <w:rPr>
          <w:rFonts w:ascii="仿宋_GB2312" w:eastAsia="仿宋_GB2312" w:hAnsi="仿宋" w:hint="eastAsia"/>
          <w:b/>
          <w:color w:val="000000" w:themeColor="text1"/>
          <w:sz w:val="32"/>
          <w:szCs w:val="32"/>
        </w:rPr>
        <w:t>三是</w:t>
      </w:r>
      <w:r>
        <w:rPr>
          <w:rFonts w:ascii="仿宋_GB2312" w:eastAsia="仿宋_GB2312" w:hAnsi="仿宋" w:hint="eastAsia"/>
          <w:color w:val="000000" w:themeColor="text1"/>
          <w:sz w:val="32"/>
          <w:szCs w:val="32"/>
        </w:rPr>
        <w:t>疫情防控及公共卫生支出18314万元，</w:t>
      </w:r>
      <w:r>
        <w:rPr>
          <w:rFonts w:ascii="仿宋_GB2312" w:eastAsia="仿宋_GB2312" w:cs="仿宋_GB2312" w:hint="eastAsia"/>
          <w:kern w:val="0"/>
          <w:sz w:val="32"/>
          <w:szCs w:val="32"/>
        </w:rPr>
        <w:t>精准落实第九版防控方案和上级防疫要求，发动</w:t>
      </w:r>
      <w:r>
        <w:rPr>
          <w:rFonts w:ascii="仿宋_GB2312" w:eastAsia="仿宋_GB2312" w:cs="仿宋_GB2312"/>
          <w:kern w:val="0"/>
          <w:sz w:val="32"/>
          <w:szCs w:val="32"/>
        </w:rPr>
        <w:t>2595</w:t>
      </w:r>
      <w:r>
        <w:rPr>
          <w:rFonts w:ascii="仿宋_GB2312" w:eastAsia="仿宋_GB2312" w:cs="仿宋_GB2312" w:hint="eastAsia"/>
          <w:kern w:val="0"/>
          <w:sz w:val="32"/>
          <w:szCs w:val="32"/>
        </w:rPr>
        <w:t>名网格员、</w:t>
      </w:r>
      <w:r>
        <w:rPr>
          <w:rFonts w:ascii="仿宋_GB2312" w:eastAsia="仿宋_GB2312" w:cs="仿宋_GB2312"/>
          <w:kern w:val="0"/>
          <w:sz w:val="32"/>
          <w:szCs w:val="32"/>
        </w:rPr>
        <w:t>1937</w:t>
      </w:r>
      <w:r>
        <w:rPr>
          <w:rFonts w:ascii="仿宋_GB2312" w:eastAsia="仿宋_GB2312" w:cs="仿宋_GB2312" w:hint="eastAsia"/>
          <w:kern w:val="0"/>
          <w:sz w:val="32"/>
          <w:szCs w:val="32"/>
        </w:rPr>
        <w:t>名包联干部、</w:t>
      </w:r>
      <w:r>
        <w:rPr>
          <w:rFonts w:ascii="仿宋_GB2312" w:eastAsia="仿宋_GB2312" w:cs="仿宋_GB2312"/>
          <w:kern w:val="0"/>
          <w:sz w:val="32"/>
          <w:szCs w:val="32"/>
        </w:rPr>
        <w:t>1683</w:t>
      </w:r>
      <w:r>
        <w:rPr>
          <w:rFonts w:ascii="仿宋_GB2312" w:eastAsia="仿宋_GB2312" w:cs="仿宋_GB2312" w:hint="eastAsia"/>
          <w:kern w:val="0"/>
          <w:sz w:val="32"/>
          <w:szCs w:val="32"/>
        </w:rPr>
        <w:t>名志愿者实施最小单元作战，完成新冠肺炎亚定点救治医院和健康驿站建设，储备隔离房间</w:t>
      </w:r>
      <w:r>
        <w:rPr>
          <w:rFonts w:ascii="仿宋_GB2312" w:eastAsia="仿宋_GB2312" w:cs="仿宋_GB2312"/>
          <w:kern w:val="0"/>
          <w:sz w:val="32"/>
          <w:szCs w:val="32"/>
        </w:rPr>
        <w:t>2528</w:t>
      </w:r>
      <w:r>
        <w:rPr>
          <w:rFonts w:ascii="仿宋_GB2312" w:eastAsia="仿宋_GB2312" w:cs="仿宋_GB2312" w:hint="eastAsia"/>
          <w:kern w:val="0"/>
          <w:sz w:val="32"/>
          <w:szCs w:val="32"/>
        </w:rPr>
        <w:t>间，设置公共场所防疫经理</w:t>
      </w:r>
      <w:r>
        <w:rPr>
          <w:rFonts w:ascii="仿宋_GB2312" w:eastAsia="仿宋_GB2312" w:cs="仿宋_GB2312"/>
          <w:kern w:val="0"/>
          <w:sz w:val="32"/>
          <w:szCs w:val="32"/>
        </w:rPr>
        <w:t>8420</w:t>
      </w:r>
      <w:r>
        <w:rPr>
          <w:rFonts w:ascii="仿宋_GB2312" w:eastAsia="仿宋_GB2312" w:cs="仿宋_GB2312" w:hint="eastAsia"/>
          <w:kern w:val="0"/>
          <w:sz w:val="32"/>
          <w:szCs w:val="32"/>
        </w:rPr>
        <w:t>名。</w:t>
      </w:r>
      <w:r>
        <w:rPr>
          <w:rFonts w:ascii="仿宋_GB2312" w:eastAsia="仿宋_GB2312" w:hAnsi="仿宋" w:hint="eastAsia"/>
          <w:b/>
          <w:color w:val="000000" w:themeColor="text1"/>
          <w:sz w:val="32"/>
          <w:szCs w:val="32"/>
        </w:rPr>
        <w:t>四是</w:t>
      </w:r>
      <w:r>
        <w:rPr>
          <w:rFonts w:ascii="仿宋_GB2312" w:eastAsia="仿宋_GB2312" w:hAnsi="仿宋" w:hint="eastAsia"/>
          <w:color w:val="000000" w:themeColor="text1"/>
          <w:sz w:val="32"/>
          <w:szCs w:val="32"/>
        </w:rPr>
        <w:t>生态环境保护及绿化支出5377万元，</w:t>
      </w:r>
      <w:r>
        <w:rPr>
          <w:rFonts w:ascii="仿宋_GB2312" w:eastAsia="仿宋_GB2312" w:cs="仿宋_GB2312" w:hint="eastAsia"/>
          <w:kern w:val="0"/>
          <w:sz w:val="32"/>
          <w:szCs w:val="32"/>
        </w:rPr>
        <w:t>实行大气污染精细化管控，全区</w:t>
      </w:r>
      <w:r>
        <w:rPr>
          <w:rFonts w:ascii="仿宋_GB2312" w:eastAsia="仿宋_GB2312" w:cs="仿宋_GB2312"/>
          <w:kern w:val="0"/>
          <w:sz w:val="32"/>
          <w:szCs w:val="32"/>
        </w:rPr>
        <w:t>PM2.5</w:t>
      </w:r>
      <w:r>
        <w:rPr>
          <w:rFonts w:ascii="仿宋_GB2312" w:eastAsia="仿宋_GB2312" w:cs="仿宋_GB2312" w:hint="eastAsia"/>
          <w:kern w:val="0"/>
          <w:sz w:val="32"/>
          <w:szCs w:val="32"/>
        </w:rPr>
        <w:t>平均浓度</w:t>
      </w:r>
      <w:r>
        <w:rPr>
          <w:rFonts w:ascii="仿宋_GB2312" w:eastAsia="仿宋_GB2312" w:cs="仿宋_GB2312"/>
          <w:kern w:val="0"/>
          <w:sz w:val="32"/>
          <w:szCs w:val="32"/>
        </w:rPr>
        <w:t>25</w:t>
      </w:r>
      <w:r>
        <w:rPr>
          <w:rFonts w:ascii="仿宋_GB2312" w:eastAsia="仿宋_GB2312" w:cs="仿宋_GB2312" w:hint="eastAsia"/>
          <w:kern w:val="0"/>
          <w:sz w:val="32"/>
          <w:szCs w:val="32"/>
        </w:rPr>
        <w:t>微克每立方米，同比下降</w:t>
      </w:r>
      <w:r>
        <w:rPr>
          <w:rFonts w:ascii="仿宋_GB2312" w:eastAsia="仿宋_GB2312" w:cs="仿宋_GB2312"/>
          <w:kern w:val="0"/>
          <w:sz w:val="32"/>
          <w:szCs w:val="32"/>
        </w:rPr>
        <w:t>16.7%</w:t>
      </w:r>
      <w:r>
        <w:rPr>
          <w:rFonts w:ascii="仿宋_GB2312" w:eastAsia="仿宋_GB2312" w:cs="仿宋_GB2312" w:hint="eastAsia"/>
          <w:kern w:val="0"/>
          <w:sz w:val="32"/>
          <w:szCs w:val="32"/>
        </w:rPr>
        <w:t>。新增绿地面积21.44万平方米，城区绿化覆盖率达到</w:t>
      </w:r>
      <w:r>
        <w:rPr>
          <w:rFonts w:ascii="仿宋_GB2312" w:eastAsia="仿宋_GB2312" w:cs="仿宋_GB2312"/>
          <w:kern w:val="0"/>
          <w:sz w:val="32"/>
          <w:szCs w:val="32"/>
        </w:rPr>
        <w:t>42.63%</w:t>
      </w:r>
      <w:r>
        <w:rPr>
          <w:rFonts w:ascii="仿宋_GB2312" w:eastAsia="仿宋_GB2312" w:cs="仿宋_GB2312" w:hint="eastAsia"/>
          <w:kern w:val="0"/>
          <w:sz w:val="32"/>
          <w:szCs w:val="32"/>
        </w:rPr>
        <w:t>，绿化覆盖面积和城区人均公园绿地面积均居全市首位。</w:t>
      </w:r>
      <w:r>
        <w:rPr>
          <w:rFonts w:ascii="仿宋_GB2312" w:eastAsia="仿宋_GB2312" w:hAnsi="仿宋" w:hint="eastAsia"/>
          <w:b/>
          <w:color w:val="000000" w:themeColor="text1"/>
          <w:sz w:val="32"/>
          <w:szCs w:val="32"/>
        </w:rPr>
        <w:t>五是</w:t>
      </w:r>
      <w:r>
        <w:rPr>
          <w:rFonts w:ascii="仿宋_GB2312" w:eastAsia="仿宋_GB2312" w:hAnsi="仿宋" w:hint="eastAsia"/>
          <w:color w:val="000000" w:themeColor="text1"/>
          <w:sz w:val="32"/>
          <w:szCs w:val="32"/>
        </w:rPr>
        <w:t>助力乡村振兴支出4483万元，</w:t>
      </w:r>
      <w:r>
        <w:rPr>
          <w:rFonts w:ascii="仿宋_GB2312" w:eastAsia="仿宋_GB2312" w:cs="仿宋_GB2312" w:hint="eastAsia"/>
          <w:kern w:val="0"/>
          <w:sz w:val="32"/>
          <w:szCs w:val="32"/>
        </w:rPr>
        <w:t>在全市率先实现专业化保洁全覆盖，新增保洁面积</w:t>
      </w:r>
      <w:r>
        <w:rPr>
          <w:rFonts w:ascii="仿宋_GB2312" w:eastAsia="仿宋_GB2312" w:cs="仿宋_GB2312"/>
          <w:kern w:val="0"/>
          <w:sz w:val="32"/>
          <w:szCs w:val="32"/>
        </w:rPr>
        <w:t>210</w:t>
      </w:r>
      <w:r>
        <w:rPr>
          <w:rFonts w:ascii="仿宋_GB2312" w:eastAsia="仿宋_GB2312" w:cs="仿宋_GB2312" w:hint="eastAsia"/>
          <w:kern w:val="0"/>
          <w:sz w:val="32"/>
          <w:szCs w:val="32"/>
        </w:rPr>
        <w:t>万平方米，累计清理垃圾</w:t>
      </w:r>
      <w:r>
        <w:rPr>
          <w:rFonts w:ascii="仿宋_GB2312" w:eastAsia="仿宋_GB2312" w:cs="仿宋_GB2312"/>
          <w:kern w:val="0"/>
          <w:sz w:val="32"/>
          <w:szCs w:val="32"/>
        </w:rPr>
        <w:t>2.8</w:t>
      </w:r>
      <w:r>
        <w:rPr>
          <w:rFonts w:ascii="仿宋_GB2312" w:eastAsia="仿宋_GB2312" w:cs="仿宋_GB2312" w:hint="eastAsia"/>
          <w:kern w:val="0"/>
          <w:sz w:val="32"/>
          <w:szCs w:val="32"/>
        </w:rPr>
        <w:t>万立，行政村生活垃圾治理率达到</w:t>
      </w:r>
      <w:r>
        <w:rPr>
          <w:rFonts w:ascii="仿宋_GB2312" w:eastAsia="仿宋_GB2312" w:cs="仿宋_GB2312"/>
          <w:kern w:val="0"/>
          <w:sz w:val="32"/>
          <w:szCs w:val="32"/>
        </w:rPr>
        <w:t>100%</w:t>
      </w:r>
      <w:r>
        <w:rPr>
          <w:rFonts w:ascii="仿宋_GB2312" w:eastAsia="仿宋_GB2312" w:cs="仿宋_GB2312" w:hint="eastAsia"/>
          <w:kern w:val="0"/>
          <w:sz w:val="32"/>
          <w:szCs w:val="32"/>
        </w:rPr>
        <w:t>。建设安防工程</w:t>
      </w:r>
      <w:r>
        <w:rPr>
          <w:rFonts w:ascii="仿宋_GB2312" w:eastAsia="仿宋_GB2312" w:cs="仿宋_GB2312"/>
          <w:kern w:val="0"/>
          <w:sz w:val="32"/>
          <w:szCs w:val="32"/>
        </w:rPr>
        <w:t>36.2</w:t>
      </w:r>
      <w:r>
        <w:rPr>
          <w:rFonts w:ascii="仿宋_GB2312" w:eastAsia="仿宋_GB2312" w:cs="仿宋_GB2312" w:hint="eastAsia"/>
          <w:kern w:val="0"/>
          <w:sz w:val="32"/>
          <w:szCs w:val="32"/>
        </w:rPr>
        <w:t>公里，改造农村公路</w:t>
      </w:r>
      <w:r>
        <w:rPr>
          <w:rFonts w:ascii="仿宋_GB2312" w:eastAsia="仿宋_GB2312" w:cs="仿宋_GB2312"/>
          <w:kern w:val="0"/>
          <w:sz w:val="32"/>
          <w:szCs w:val="32"/>
        </w:rPr>
        <w:t>12</w:t>
      </w:r>
      <w:r>
        <w:rPr>
          <w:rFonts w:ascii="仿宋_GB2312" w:eastAsia="仿宋_GB2312" w:cs="仿宋_GB2312" w:hint="eastAsia"/>
          <w:kern w:val="0"/>
          <w:sz w:val="32"/>
          <w:szCs w:val="32"/>
        </w:rPr>
        <w:t>公里。新建农村户厕</w:t>
      </w:r>
      <w:r>
        <w:rPr>
          <w:rFonts w:ascii="仿宋_GB2312" w:eastAsia="仿宋_GB2312" w:cs="仿宋_GB2312"/>
          <w:kern w:val="0"/>
          <w:sz w:val="32"/>
          <w:szCs w:val="32"/>
        </w:rPr>
        <w:t>200</w:t>
      </w:r>
      <w:r>
        <w:rPr>
          <w:rFonts w:ascii="仿宋_GB2312" w:eastAsia="仿宋_GB2312" w:cs="仿宋_GB2312" w:hint="eastAsia"/>
          <w:kern w:val="0"/>
          <w:sz w:val="32"/>
          <w:szCs w:val="32"/>
        </w:rPr>
        <w:t>座，改造公厕</w:t>
      </w:r>
      <w:r>
        <w:rPr>
          <w:rFonts w:ascii="仿宋_GB2312" w:eastAsia="仿宋_GB2312" w:cs="仿宋_GB2312"/>
          <w:kern w:val="0"/>
          <w:sz w:val="32"/>
          <w:szCs w:val="32"/>
        </w:rPr>
        <w:t>5</w:t>
      </w:r>
      <w:r>
        <w:rPr>
          <w:rFonts w:ascii="仿宋_GB2312" w:eastAsia="仿宋_GB2312" w:cs="仿宋_GB2312" w:hint="eastAsia"/>
          <w:kern w:val="0"/>
          <w:sz w:val="32"/>
          <w:szCs w:val="32"/>
        </w:rPr>
        <w:t>座</w:t>
      </w:r>
      <w:r>
        <w:rPr>
          <w:rFonts w:ascii="仿宋_GB2312" w:eastAsia="仿宋_GB2312" w:cs="仿宋_GB2312"/>
          <w:kern w:val="0"/>
          <w:sz w:val="32"/>
          <w:szCs w:val="32"/>
        </w:rPr>
        <w:t>，</w:t>
      </w:r>
      <w:r>
        <w:rPr>
          <w:rFonts w:ascii="仿宋_GB2312" w:eastAsia="仿宋_GB2312" w:cs="仿宋_GB2312" w:hint="eastAsia"/>
          <w:kern w:val="0"/>
          <w:sz w:val="32"/>
          <w:szCs w:val="32"/>
        </w:rPr>
        <w:t>顺利通过省级问题厕所排查整改验收。巩固拓展脱贫攻坚成果，脱贫人口纯收入达1.66万元，同比增长10%。</w:t>
      </w:r>
      <w:r>
        <w:rPr>
          <w:rFonts w:ascii="仿宋_GB2312" w:eastAsia="仿宋_GB2312" w:hAnsi="仿宋" w:hint="eastAsia"/>
          <w:b/>
          <w:color w:val="000000" w:themeColor="text1"/>
          <w:sz w:val="32"/>
          <w:szCs w:val="32"/>
        </w:rPr>
        <w:t>六是</w:t>
      </w:r>
      <w:r>
        <w:rPr>
          <w:rFonts w:ascii="仿宋_GB2312" w:eastAsia="仿宋_GB2312" w:hAnsi="仿宋" w:hint="eastAsia"/>
          <w:color w:val="000000" w:themeColor="text1"/>
          <w:sz w:val="32"/>
          <w:szCs w:val="32"/>
        </w:rPr>
        <w:t>公共安全和维稳支出15354万元，足额保障公检法司部门的公用和办案经费，保障全区社会治安管理、治安防控体系建设，信访稳控和法律援助工作进一步加强。</w:t>
      </w:r>
      <w:r>
        <w:rPr>
          <w:rFonts w:ascii="仿宋_GB2312" w:eastAsia="仿宋_GB2312" w:cs="仿宋_GB2312" w:hint="eastAsia"/>
          <w:kern w:val="0"/>
          <w:sz w:val="32"/>
          <w:szCs w:val="32"/>
        </w:rPr>
        <w:t>排查整治各类安全隐患9629个，圆满完成党的二十大、冬奥会等安全稳定保障任务，进京赴省访和安全生产事故“零发生”。常态化开展扫黑除恶斗争，在夏季社会治安打击整治百日行动中“总成绩”“贡献绝对加分值”“三次夜查行动”三个成绩均为全市第一</w:t>
      </w:r>
      <w:r>
        <w:rPr>
          <w:rFonts w:ascii="仿宋_GB2312" w:eastAsia="仿宋_GB2312" w:hAnsi="仿宋" w:hint="eastAsia"/>
          <w:color w:val="000000" w:themeColor="text1"/>
          <w:sz w:val="32"/>
          <w:szCs w:val="32"/>
        </w:rPr>
        <w:t>。</w:t>
      </w:r>
      <w:r>
        <w:rPr>
          <w:rFonts w:ascii="仿宋_GB2312" w:eastAsia="仿宋_GB2312" w:hAnsi="仿宋" w:hint="eastAsia"/>
          <w:b/>
          <w:sz w:val="32"/>
          <w:szCs w:val="32"/>
        </w:rPr>
        <w:t>七是</w:t>
      </w:r>
      <w:r>
        <w:rPr>
          <w:rFonts w:ascii="仿宋_GB2312" w:eastAsia="仿宋_GB2312" w:hAnsi="仿宋" w:hint="eastAsia"/>
          <w:sz w:val="32"/>
          <w:szCs w:val="32"/>
        </w:rPr>
        <w:t>提升城市基础设施建设支出25685万元，</w:t>
      </w:r>
      <w:r>
        <w:rPr>
          <w:rFonts w:ascii="仿宋_GB2312" w:eastAsia="仿宋_GB2312" w:cs="仿宋_GB2312" w:hint="eastAsia"/>
          <w:kern w:val="0"/>
          <w:sz w:val="32"/>
          <w:szCs w:val="32"/>
        </w:rPr>
        <w:t>深入实施城市亮化、道路提升等建设工程，高标准完成车站广场改造提升工程，建设改造万华C区等公共停车场10处、车位473个，维修破损路面2.3万平方米，更换照明灯具1600余个，打造广仁大街、普乐路、车站路三条“四化”样板街，主次干道亮灯率分别达到98%和96%以上。持续改善市容市貌，整治架空管线220公里，施划非机动车停车线24万延长米，拆除违法建筑15万平方米。</w:t>
      </w:r>
    </w:p>
    <w:p>
      <w:pPr>
        <w:overflowPunct w:val="0"/>
        <w:autoSpaceDE w:val="0"/>
        <w:autoSpaceDN w:val="0"/>
        <w:adjustRightInd w:val="0"/>
        <w:snapToGrid w:val="0"/>
        <w:spacing w:line="560" w:lineRule="exact"/>
        <w:ind w:firstLine="627" w:firstLineChars="196"/>
        <w:rPr>
          <w:rFonts w:ascii="仿宋_GB2312" w:eastAsia="仿宋_GB2312" w:hAnsi="仿宋" w:cs="宋体"/>
          <w:kern w:val="0"/>
          <w:sz w:val="32"/>
          <w:szCs w:val="32"/>
        </w:rPr>
      </w:pPr>
      <w:r>
        <w:rPr>
          <w:rFonts w:ascii="楷体_GB2312" w:eastAsia="楷体_GB2312" w:hAnsi="仿宋" w:hint="eastAsia"/>
          <w:b/>
          <w:sz w:val="32"/>
          <w:szCs w:val="32"/>
        </w:rPr>
        <w:t>（三）</w:t>
      </w:r>
      <w:r>
        <w:rPr>
          <w:rFonts w:ascii="楷体_GB2312" w:eastAsia="楷体_GB2312" w:hAnsi="仿宋" w:cs="宋体" w:hint="eastAsia"/>
          <w:b/>
          <w:kern w:val="0"/>
          <w:sz w:val="32"/>
          <w:szCs w:val="32"/>
        </w:rPr>
        <w:t>着力抓好化解债务，有效防控债务风险</w:t>
      </w:r>
    </w:p>
    <w:p>
      <w:pPr>
        <w:overflowPunct w:val="0"/>
        <w:autoSpaceDE w:val="0"/>
        <w:autoSpaceDN w:val="0"/>
        <w:adjustRightInd w:val="0"/>
        <w:snapToGrid w:val="0"/>
        <w:spacing w:line="560" w:lineRule="exact"/>
        <w:ind w:firstLine="640" w:firstLineChars="200"/>
        <w:rPr>
          <w:rFonts w:ascii="仿宋_GB2312" w:eastAsia="仿宋_GB2312"/>
          <w:color w:val="000000" w:themeColor="text1"/>
          <w:sz w:val="32"/>
          <w:szCs w:val="32"/>
        </w:rPr>
      </w:pPr>
      <w:r>
        <w:rPr>
          <w:rFonts w:ascii="仿宋_GB2312" w:eastAsia="仿宋_GB2312" w:hint="eastAsia"/>
          <w:color w:val="000000" w:themeColor="text1"/>
          <w:sz w:val="32"/>
          <w:szCs w:val="32"/>
        </w:rPr>
        <w:t>强化政府债务风险管理，多措并举完成全年债务化解任务。</w:t>
      </w:r>
      <w:r>
        <w:rPr>
          <w:rFonts w:ascii="仿宋_GB2312" w:eastAsia="仿宋_GB2312" w:hAnsi="仿宋" w:cs="仿宋" w:hint="eastAsia"/>
          <w:color w:val="000000" w:themeColor="text1"/>
          <w:sz w:val="32"/>
          <w:szCs w:val="32"/>
        </w:rPr>
        <w:t>全面落实《政府债务风险化解规划》和《政府隐性债务化解方案》，</w:t>
      </w:r>
      <w:r>
        <w:rPr>
          <w:rFonts w:ascii="仿宋_GB2312" w:eastAsia="仿宋_GB2312" w:hint="eastAsia"/>
          <w:color w:val="000000" w:themeColor="text1"/>
          <w:sz w:val="32"/>
          <w:szCs w:val="32"/>
        </w:rPr>
        <w:t>实行还本付息“年计划、月提醒、日对账”制度，全年按时足额偿还到期债券本息19.6亿元；加强常态化统计监测，化解隐性债务3.61亿元；完善举债制度，严守举债融资负面清单，坚持“开好前门、堵死后门”，实现债务风险可防可控。</w:t>
      </w:r>
    </w:p>
    <w:p>
      <w:pPr>
        <w:overflowPunct w:val="0"/>
        <w:autoSpaceDE w:val="0"/>
        <w:autoSpaceDN w:val="0"/>
        <w:adjustRightInd w:val="0"/>
        <w:snapToGrid w:val="0"/>
        <w:spacing w:line="560" w:lineRule="exact"/>
        <w:ind w:firstLine="627" w:firstLineChars="196"/>
        <w:rPr>
          <w:rFonts w:ascii="仿宋_GB2312" w:eastAsia="仿宋_GB2312" w:hAnsi="仿宋"/>
          <w:color w:val="000000"/>
          <w:sz w:val="32"/>
          <w:szCs w:val="32"/>
        </w:rPr>
      </w:pPr>
      <w:r>
        <w:rPr>
          <w:rFonts w:ascii="楷体_GB2312" w:eastAsia="楷体_GB2312" w:hAnsi="仿宋" w:cs="宋体" w:hint="eastAsia"/>
          <w:b/>
          <w:kern w:val="0"/>
          <w:sz w:val="32"/>
          <w:szCs w:val="32"/>
        </w:rPr>
        <w:t>（四）</w:t>
      </w:r>
      <w:r>
        <w:rPr>
          <w:rFonts w:ascii="楷体_GB2312" w:eastAsia="楷体_GB2312" w:hAnsi="仿宋" w:hint="eastAsia"/>
          <w:b/>
          <w:sz w:val="32"/>
          <w:szCs w:val="32"/>
        </w:rPr>
        <w:t>着力推动改革落地，健全现代财政制度</w:t>
      </w:r>
    </w:p>
    <w:p>
      <w:pPr>
        <w:overflowPunct w:val="0"/>
        <w:autoSpaceDE w:val="0"/>
        <w:autoSpaceDN w:val="0"/>
        <w:adjustRightInd w:val="0"/>
        <w:snapToGrid w:val="0"/>
        <w:spacing w:line="560" w:lineRule="exact"/>
        <w:ind w:firstLine="643"/>
        <w:jc w:val="left"/>
        <w:rPr>
          <w:rFonts w:ascii="仿宋_GB2312" w:eastAsia="仿宋_GB2312" w:hAnsi="仿宋" w:cs="宋体"/>
          <w:kern w:val="0"/>
          <w:sz w:val="32"/>
          <w:szCs w:val="32"/>
        </w:rPr>
      </w:pPr>
      <w:r>
        <w:rPr>
          <w:rFonts w:ascii="仿宋_GB2312" w:eastAsia="仿宋_GB2312" w:hAnsi="仿宋" w:hint="eastAsia"/>
          <w:sz w:val="32"/>
          <w:szCs w:val="32"/>
        </w:rPr>
        <w:t>坚持依法行政、依法理财，不断完善管理机制，强化日常监管，全区财政保持平稳健康运行。</w:t>
      </w:r>
      <w:r>
        <w:rPr>
          <w:rFonts w:ascii="仿宋_GB2312" w:eastAsia="仿宋_GB2312" w:hAnsi="仿宋" w:hint="eastAsia"/>
          <w:b/>
          <w:color w:val="000000"/>
          <w:sz w:val="32"/>
          <w:szCs w:val="32"/>
        </w:rPr>
        <w:t>一是</w:t>
      </w:r>
      <w:r>
        <w:rPr>
          <w:rFonts w:ascii="仿宋_GB2312" w:eastAsia="仿宋_GB2312" w:hAnsi="仿宋" w:cs="宋体" w:hint="eastAsia"/>
          <w:color w:val="000000"/>
          <w:kern w:val="0"/>
          <w:sz w:val="32"/>
          <w:szCs w:val="32"/>
        </w:rPr>
        <w:t>管好用好直达资金。积极向上争取，累计拨付4.46亿元用于全区基础民生支出，极大程度的缓解了本级财政支出压力。</w:t>
      </w:r>
      <w:r>
        <w:rPr>
          <w:rFonts w:ascii="仿宋_GB2312" w:eastAsia="仿宋_GB2312" w:hAnsi="仿宋" w:hint="eastAsia"/>
          <w:b/>
          <w:color w:val="000000"/>
          <w:sz w:val="32"/>
          <w:szCs w:val="32"/>
        </w:rPr>
        <w:t>二是</w:t>
      </w:r>
      <w:r>
        <w:rPr>
          <w:rFonts w:ascii="仿宋_GB2312" w:eastAsia="仿宋_GB2312" w:hAnsi="仿宋" w:hint="eastAsia"/>
          <w:color w:val="000000"/>
          <w:sz w:val="32"/>
          <w:szCs w:val="32"/>
        </w:rPr>
        <w:t>加强项目投资评审，严格执行政府采购、投资评审工作制度，把提高财政资金使用效益贯彻财政工作始终，全年共评审项目247项，评审金额4.27亿元，审定金额3.7亿元，审减金额0.57亿元，审减率13.4%。</w:t>
      </w:r>
      <w:r>
        <w:rPr>
          <w:rFonts w:ascii="仿宋_GB2312" w:eastAsia="仿宋_GB2312" w:hAnsi="仿宋" w:hint="eastAsia"/>
          <w:b/>
          <w:color w:val="000000"/>
          <w:sz w:val="32"/>
          <w:szCs w:val="32"/>
        </w:rPr>
        <w:t>三是</w:t>
      </w:r>
      <w:r>
        <w:rPr>
          <w:rFonts w:ascii="仿宋_GB2312" w:eastAsia="仿宋_GB2312" w:hAnsi="仿宋_GB2312" w:cs="仿宋_GB2312" w:hint="eastAsia"/>
          <w:sz w:val="32"/>
          <w:szCs w:val="32"/>
        </w:rPr>
        <w:t>积极推进绩效预算改革工作，建立全过程绩效预算管理模式。积极落实新增项目事前绩效评估要求，加强申报项目绩效目标管理，组织开展绩效运行监控、强化绩效评价等有力举措，全力构建绩效评价监督机制。</w:t>
      </w:r>
    </w:p>
    <w:p>
      <w:pPr>
        <w:overflowPunct w:val="0"/>
        <w:autoSpaceDE w:val="0"/>
        <w:autoSpaceDN w:val="0"/>
        <w:adjustRightInd w:val="0"/>
        <w:snapToGrid w:val="0"/>
        <w:spacing w:line="560" w:lineRule="exact"/>
        <w:ind w:firstLine="643"/>
        <w:jc w:val="left"/>
        <w:rPr>
          <w:rFonts w:ascii="仿宋_GB2312" w:eastAsia="仿宋_GB2312" w:hAnsi="仿宋" w:cs="宋体"/>
          <w:kern w:val="0"/>
          <w:sz w:val="24"/>
        </w:rPr>
      </w:pPr>
      <w:r>
        <w:rPr>
          <w:rFonts w:ascii="仿宋_GB2312" w:eastAsia="仿宋_GB2312" w:hAnsi="仿宋" w:cs="宋体" w:hint="eastAsia"/>
          <w:kern w:val="0"/>
          <w:sz w:val="32"/>
          <w:szCs w:val="32"/>
        </w:rPr>
        <w:t>过去的一年，我们战胜了前所未有的困难和挑战，顶住了前所未有的压力和考验，成绩来之不易，是</w:t>
      </w:r>
      <w:r>
        <w:rPr>
          <w:rFonts w:ascii="仿宋_GB2312" w:eastAsia="仿宋_GB2312" w:hAnsi="仿宋" w:hint="eastAsia"/>
          <w:sz w:val="32"/>
          <w:szCs w:val="32"/>
        </w:rPr>
        <w:t>全区上下深入学习宣传贯彻</w:t>
      </w:r>
      <w:r>
        <w:rPr>
          <w:rFonts w:ascii="仿宋_GB2312" w:eastAsia="仿宋_GB2312" w:hAnsi="仿宋" w:hint="eastAsia"/>
          <w:sz w:val="32"/>
          <w:szCs w:val="32"/>
        </w:rPr>
        <w:t>党的十九大和十九届历次全会精神</w:t>
      </w:r>
      <w:r>
        <w:rPr>
          <w:rFonts w:ascii="仿宋_GB2312" w:eastAsia="仿宋_GB2312" w:hAnsi="仿宋" w:hint="eastAsia"/>
          <w:sz w:val="32"/>
          <w:szCs w:val="32"/>
        </w:rPr>
        <w:t>、</w:t>
      </w:r>
      <w:r>
        <w:rPr>
          <w:rFonts w:ascii="仿宋_GB2312" w:eastAsia="仿宋_GB2312" w:hAnsi="仿宋" w:hint="eastAsia"/>
          <w:sz w:val="32"/>
          <w:szCs w:val="32"/>
        </w:rPr>
        <w:t>党的二十大精神</w:t>
      </w:r>
      <w:r>
        <w:rPr>
          <w:rFonts w:ascii="仿宋_GB2312" w:eastAsia="仿宋_GB2312" w:hAnsi="仿宋" w:hint="eastAsia"/>
          <w:sz w:val="32"/>
          <w:szCs w:val="32"/>
        </w:rPr>
        <w:t>和坚持以习近平新时代中国特色社会主义思想引领航向的结果，是坚决落实省、市和区委各项决策部署的结果</w:t>
      </w:r>
      <w:r>
        <w:rPr>
          <w:rFonts w:ascii="仿宋_GB2312" w:eastAsia="仿宋_GB2312" w:hAnsi="仿宋" w:cs="宋体" w:hint="eastAsia"/>
          <w:kern w:val="0"/>
          <w:sz w:val="32"/>
          <w:szCs w:val="32"/>
        </w:rPr>
        <w:t>，</w:t>
      </w:r>
      <w:r>
        <w:rPr>
          <w:rFonts w:ascii="仿宋_GB2312" w:eastAsia="仿宋_GB2312" w:hAnsi="仿宋" w:hint="eastAsia"/>
          <w:sz w:val="32"/>
          <w:szCs w:val="32"/>
        </w:rPr>
        <w:t>是区人大、政协以及社会各界大力支持的结果</w:t>
      </w:r>
      <w:r>
        <w:rPr>
          <w:rFonts w:ascii="仿宋_GB2312" w:eastAsia="仿宋_GB2312" w:hAnsi="仿宋" w:cs="宋体" w:hint="eastAsia"/>
          <w:kern w:val="0"/>
          <w:sz w:val="32"/>
          <w:szCs w:val="32"/>
        </w:rPr>
        <w:t>。在总结成绩的同时，我们也清醒地看到，当前面临的困难和挑战依然较多。主要表现在：</w:t>
      </w:r>
      <w:r>
        <w:rPr>
          <w:rFonts w:ascii="仿宋_GB2312" w:eastAsia="仿宋_GB2312" w:hAnsi="仿宋" w:cs="宋体" w:hint="eastAsia"/>
          <w:b/>
          <w:kern w:val="0"/>
          <w:sz w:val="32"/>
          <w:szCs w:val="32"/>
        </w:rPr>
        <w:t>一是财政收支矛盾前所未有。</w:t>
      </w:r>
      <w:r>
        <w:rPr>
          <w:rFonts w:ascii="仿宋_GB2312" w:eastAsia="仿宋_GB2312" w:hAnsi="仿宋" w:cs="宋体" w:hint="eastAsia"/>
          <w:kern w:val="0"/>
          <w:sz w:val="32"/>
          <w:szCs w:val="32"/>
        </w:rPr>
        <w:t>面对实体经济低迷，叠加“减税降费”政策落实，财政收入增长压力空前。同时各项民生和重点项目支出覆盖面扩大，刚性支出有增无减，财政收支平衡面临巨大挑战。</w:t>
      </w:r>
      <w:r>
        <w:rPr>
          <w:rFonts w:ascii="仿宋_GB2312" w:eastAsia="仿宋_GB2312" w:hAnsi="仿宋" w:cs="宋体" w:hint="eastAsia"/>
          <w:b/>
          <w:kern w:val="0"/>
          <w:sz w:val="32"/>
          <w:szCs w:val="32"/>
        </w:rPr>
        <w:t>二是风险防控压力前所未有</w:t>
      </w:r>
      <w:r>
        <w:rPr>
          <w:rFonts w:ascii="仿宋_GB2312" w:eastAsia="仿宋_GB2312" w:hAnsi="仿宋" w:cs="宋体" w:hint="eastAsia"/>
          <w:kern w:val="0"/>
          <w:sz w:val="32"/>
          <w:szCs w:val="32"/>
        </w:rPr>
        <w:t>。全区政府债务风险总体可控，但全区债务余额、综合债务率等指标在全省排名靠前，年需偿还债务20余亿元，以我区当前可用财力水平，偿还压力十分巨大。</w:t>
      </w:r>
      <w:r>
        <w:rPr>
          <w:rFonts w:ascii="仿宋_GB2312" w:eastAsia="仿宋_GB2312" w:hAnsi="仿宋" w:cs="宋体" w:hint="eastAsia"/>
          <w:b/>
          <w:kern w:val="0"/>
          <w:sz w:val="32"/>
          <w:szCs w:val="32"/>
        </w:rPr>
        <w:t>三是资金调度困难前所未有。</w:t>
      </w:r>
      <w:r>
        <w:rPr>
          <w:rFonts w:ascii="仿宋_GB2312" w:eastAsia="仿宋_GB2312" w:hAnsi="仿宋" w:cs="宋体" w:hint="eastAsia"/>
          <w:kern w:val="0"/>
          <w:sz w:val="32"/>
          <w:szCs w:val="32"/>
        </w:rPr>
        <w:t>自2021年房地产去库存速度下降，金融监管不断深化，房地产行业迎来周期性大调整，土地需求大幅减弱，土地收入随之减少，我区“现金流”快速下降，短期偿债压力升高，可用资金严重萎缩。</w:t>
      </w:r>
    </w:p>
    <w:p>
      <w:pPr>
        <w:overflowPunct w:val="0"/>
        <w:autoSpaceDE w:val="0"/>
        <w:autoSpaceDN w:val="0"/>
        <w:adjustRightInd w:val="0"/>
        <w:snapToGrid w:val="0"/>
        <w:spacing w:line="560" w:lineRule="exact"/>
        <w:ind w:firstLine="640" w:firstLineChars="200"/>
        <w:rPr>
          <w:rFonts w:ascii="黑体" w:eastAsia="黑体" w:hAnsi="黑体"/>
          <w:sz w:val="32"/>
          <w:szCs w:val="32"/>
        </w:rPr>
      </w:pPr>
      <w:r>
        <w:rPr>
          <w:rFonts w:ascii="黑体" w:eastAsia="黑体" w:hAnsi="黑体" w:hint="eastAsia"/>
          <w:sz w:val="32"/>
          <w:szCs w:val="32"/>
        </w:rPr>
        <w:t>二、2023年财政预算安排情况</w:t>
      </w:r>
    </w:p>
    <w:p>
      <w:pPr>
        <w:overflowPunct w:val="0"/>
        <w:autoSpaceDE w:val="0"/>
        <w:autoSpaceDN w:val="0"/>
        <w:adjustRightInd w:val="0"/>
        <w:snapToGrid w:val="0"/>
        <w:spacing w:line="560" w:lineRule="exact"/>
        <w:ind w:firstLine="640" w:firstLineChars="200"/>
        <w:rPr>
          <w:rFonts w:ascii="楷体_GB2312" w:eastAsia="楷体_GB2312" w:hAnsi="仿宋" w:cs="宋体"/>
          <w:b/>
          <w:color w:val="000000"/>
          <w:kern w:val="0"/>
          <w:sz w:val="32"/>
          <w:szCs w:val="32"/>
        </w:rPr>
      </w:pPr>
      <w:r>
        <w:rPr>
          <w:rFonts w:ascii="楷体_GB2312" w:eastAsia="楷体_GB2312" w:hAnsi="仿宋" w:cs="宋体" w:hint="eastAsia"/>
          <w:b/>
          <w:color w:val="000000"/>
          <w:kern w:val="0"/>
          <w:sz w:val="32"/>
          <w:szCs w:val="32"/>
        </w:rPr>
        <w:t>（一）2023年预算编制指导思想</w:t>
      </w:r>
    </w:p>
    <w:p>
      <w:pPr>
        <w:overflowPunct w:val="0"/>
        <w:autoSpaceDE w:val="0"/>
        <w:autoSpaceDN w:val="0"/>
        <w:adjustRightInd w:val="0"/>
        <w:spacing w:line="560" w:lineRule="exact"/>
        <w:ind w:firstLine="641"/>
        <w:rPr>
          <w:rFonts w:ascii="仿宋_GB2312" w:eastAsia="仿宋_GB2312" w:hAnsi="Calibri" w:cs="仿宋"/>
          <w:kern w:val="0"/>
          <w:sz w:val="32"/>
          <w:szCs w:val="32"/>
          <w:lang w:val="zh-CN"/>
        </w:rPr>
      </w:pPr>
      <w:r>
        <w:rPr>
          <w:rFonts w:ascii="仿宋_GB2312" w:eastAsia="仿宋_GB2312" w:hAnsi="仿宋_GB2312" w:cs="仿宋_GB2312" w:hint="eastAsia"/>
          <w:sz w:val="32"/>
          <w:szCs w:val="32"/>
        </w:rPr>
        <w:t>坚持以习近平新时代中国特色社会主义思想为指导，全面贯彻党的二十大和省委十届三次全会、市委十五届七次全会精神，坚持稳中求进工作总基调，完整、准确、全面贯彻新发展理念，加快构建新发展格局，着力推动高质量发展，更好统筹疫情防控和经济社会发展，更好统筹发展和安全，全面落实积极财政政策，扎实推进财税改革，加强财政资源统筹，优化财政支出结构，强化财政资金管理，防范化解财政风险，推动经济运行整体好转，实现质的有效提升和量的合理增长，增强财政可持续性，努力为全面建设首善之区、幸福双桥提供财政支撑。</w:t>
      </w:r>
    </w:p>
    <w:p>
      <w:pPr>
        <w:overflowPunct w:val="0"/>
        <w:autoSpaceDE w:val="0"/>
        <w:autoSpaceDN w:val="0"/>
        <w:adjustRightInd w:val="0"/>
        <w:snapToGrid w:val="0"/>
        <w:spacing w:line="560" w:lineRule="exact"/>
        <w:ind w:firstLine="645"/>
        <w:rPr>
          <w:rFonts w:ascii="楷体_GB2312" w:eastAsia="楷体_GB2312" w:hAnsi="仿宋"/>
          <w:b/>
          <w:sz w:val="32"/>
          <w:szCs w:val="32"/>
        </w:rPr>
      </w:pPr>
      <w:r>
        <w:rPr>
          <w:rFonts w:ascii="楷体_GB2312" w:eastAsia="楷体_GB2312" w:hAnsi="仿宋" w:hint="eastAsia"/>
          <w:b/>
          <w:sz w:val="32"/>
          <w:szCs w:val="32"/>
        </w:rPr>
        <w:t>（二）2023年预算编制基本原则</w:t>
      </w:r>
    </w:p>
    <w:p>
      <w:pPr>
        <w:overflowPunct w:val="0"/>
        <w:spacing w:line="560" w:lineRule="exact"/>
        <w:ind w:firstLine="640" w:firstLineChars="200"/>
        <w:rPr>
          <w:rFonts w:ascii="仿宋_GB2312" w:eastAsia="仿宋_GB2312" w:hAnsi="仿宋_GB2312" w:cs="仿宋_GB2312"/>
          <w:kern w:val="0"/>
          <w:sz w:val="32"/>
          <w:szCs w:val="32"/>
        </w:rPr>
      </w:pPr>
      <w:r>
        <w:rPr>
          <w:rFonts w:ascii="仿宋_GB2312" w:eastAsia="仿宋_GB2312" w:hAnsi="仿宋_GB2312" w:cs="仿宋_GB2312" w:hint="eastAsia"/>
          <w:b/>
          <w:bCs/>
          <w:color w:val="000000"/>
          <w:kern w:val="0"/>
          <w:sz w:val="32"/>
          <w:szCs w:val="32"/>
        </w:rPr>
        <w:t>——依法合规。</w:t>
      </w:r>
      <w:r>
        <w:rPr>
          <w:rFonts w:ascii="仿宋_GB2312" w:eastAsia="仿宋_GB2312" w:hAnsi="仿宋_GB2312" w:cs="仿宋_GB2312" w:hint="eastAsia"/>
          <w:kern w:val="0"/>
          <w:sz w:val="32"/>
          <w:szCs w:val="32"/>
        </w:rPr>
        <w:t>全面贯彻落实《预算法》及《预算法实施条例》等财经法律法规，规范预算编制，强化部门和单位预算管理主体责任，坚持先预算后支出、严格预算执行刚性约束，切实维护财经秩序。</w:t>
      </w:r>
    </w:p>
    <w:p>
      <w:pPr>
        <w:overflowPunct w:val="0"/>
        <w:spacing w:line="560" w:lineRule="exact"/>
        <w:ind w:firstLine="640" w:firstLineChars="200"/>
        <w:rPr>
          <w:rFonts w:ascii="仿宋_GB2312" w:eastAsia="仿宋_GB2312"/>
          <w:sz w:val="32"/>
          <w:szCs w:val="32"/>
          <w:shd w:val="clear" w:color="auto" w:fill="FFFFFF"/>
        </w:rPr>
      </w:pPr>
      <w:r>
        <w:rPr>
          <w:rFonts w:ascii="仿宋_GB2312" w:eastAsia="仿宋_GB2312" w:hAnsi="仿宋_GB2312" w:cs="仿宋_GB2312" w:hint="eastAsia"/>
          <w:b/>
          <w:bCs/>
          <w:color w:val="000000"/>
          <w:kern w:val="0"/>
          <w:sz w:val="32"/>
          <w:szCs w:val="32"/>
        </w:rPr>
        <w:t>——优化结构。</w:t>
      </w:r>
      <w:r>
        <w:rPr>
          <w:rFonts w:ascii="仿宋_GB2312" w:eastAsia="仿宋_GB2312" w:hAnsi="仿宋_GB2312" w:cs="仿宋_GB2312" w:hint="eastAsia"/>
          <w:color w:val="000000"/>
          <w:kern w:val="0"/>
          <w:sz w:val="32"/>
          <w:szCs w:val="32"/>
        </w:rPr>
        <w:t>持续调整优化支出结构，推进财政政策更加精准有效，区分支出事项轻重缓急，坚持“三保”支出在财政支出中的第一优先地位，统筹保障防范化解风险和各级党委政府重大决策部署等重点领域支出</w:t>
      </w:r>
      <w:r>
        <w:rPr>
          <w:rFonts w:ascii="仿宋_GB2312" w:eastAsia="仿宋_GB2312" w:hint="eastAsia"/>
          <w:sz w:val="32"/>
          <w:szCs w:val="32"/>
          <w:shd w:val="clear" w:color="auto" w:fill="FFFFFF"/>
        </w:rPr>
        <w:t>。</w:t>
      </w:r>
    </w:p>
    <w:p>
      <w:pPr>
        <w:overflowPunct w:val="0"/>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rPr>
        <w:t>——统筹兼顾。</w:t>
      </w:r>
      <w:r>
        <w:rPr>
          <w:rFonts w:ascii="仿宋_GB2312" w:eastAsia="仿宋_GB2312" w:hAnsi="仿宋_GB2312" w:cs="仿宋_GB2312" w:hint="eastAsia"/>
          <w:sz w:val="32"/>
          <w:szCs w:val="32"/>
        </w:rPr>
        <w:t>坚持尽力而为、量力而行，加大政府预算统筹力度，统筹整合各类资产、资源和资金，科学合理配置有限的财政资源，打破财政支出固化格局，集中财力办大事，全面实行综合预算。</w:t>
      </w:r>
    </w:p>
    <w:p>
      <w:pPr>
        <w:overflowPunct w:val="0"/>
        <w:spacing w:line="560"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——厉行节约。</w:t>
      </w:r>
      <w:r>
        <w:rPr>
          <w:rFonts w:ascii="仿宋_GB2312" w:eastAsia="仿宋_GB2312" w:hAnsi="仿宋_GB2312" w:cs="仿宋_GB2312" w:hint="eastAsia"/>
          <w:sz w:val="32"/>
          <w:szCs w:val="32"/>
        </w:rPr>
        <w:t>发扬艰苦奋斗优良传统，严格</w:t>
      </w:r>
      <w:r>
        <w:rPr>
          <w:rFonts w:ascii="仿宋_GB2312" w:eastAsia="仿宋_GB2312" w:hAnsi="仿宋_GB2312" w:cs="仿宋_GB2312" w:hint="eastAsia"/>
          <w:color w:val="000000"/>
          <w:kern w:val="0"/>
          <w:sz w:val="32"/>
          <w:szCs w:val="32"/>
        </w:rPr>
        <w:t>落实政府过紧日子要求，开源节流、精打细算、细化标准，严格控制各项支出，厉行节约办一切事业。</w:t>
      </w:r>
      <w:r>
        <w:rPr>
          <w:rFonts w:ascii="仿宋_GB2312" w:eastAsia="仿宋_GB2312" w:hint="eastAsia"/>
          <w:sz w:val="32"/>
          <w:szCs w:val="32"/>
          <w:shd w:val="clear" w:color="auto" w:fill="FFFFFF"/>
        </w:rPr>
        <w:t>严控“三公”经费，严格执行开支范围和标准，严禁新建政府性楼堂馆所，严禁铺张浪费。</w:t>
      </w:r>
    </w:p>
    <w:p>
      <w:pPr>
        <w:overflowPunct w:val="0"/>
        <w:spacing w:line="560" w:lineRule="exact"/>
        <w:ind w:firstLine="640" w:firstLineChars="200"/>
        <w:rPr>
          <w:rFonts w:ascii="仿宋_GB2312" w:eastAsia="仿宋_GB2312" w:hAnsi="仿宋_GB2312" w:cs="仿宋_GB2312"/>
          <w:kern w:val="0"/>
          <w:sz w:val="32"/>
          <w:szCs w:val="32"/>
        </w:rPr>
      </w:pPr>
      <w:r>
        <w:rPr>
          <w:rFonts w:ascii="仿宋_GB2312" w:eastAsia="仿宋_GB2312" w:hint="eastAsia"/>
          <w:b/>
          <w:bCs/>
          <w:sz w:val="32"/>
          <w:szCs w:val="32"/>
          <w:shd w:val="clear" w:color="auto" w:fill="FFFFFF"/>
        </w:rPr>
        <w:t>——</w:t>
      </w:r>
      <w:r>
        <w:rPr>
          <w:rFonts w:ascii="仿宋_GB2312" w:eastAsia="仿宋_GB2312" w:hAnsi="宋体" w:hint="eastAsia"/>
          <w:b/>
          <w:bCs/>
          <w:sz w:val="32"/>
          <w:szCs w:val="32"/>
          <w:shd w:val="clear" w:color="auto" w:fill="FFFFFF"/>
        </w:rPr>
        <w:t>深化改革。</w:t>
      </w:r>
      <w:r>
        <w:rPr>
          <w:rFonts w:ascii="仿宋_GB2312" w:eastAsia="仿宋_GB2312" w:hint="eastAsia"/>
          <w:sz w:val="32"/>
          <w:szCs w:val="32"/>
          <w:shd w:val="clear" w:color="auto" w:fill="FFFFFF"/>
        </w:rPr>
        <w:t>深入贯彻落实预算管理制度改革，建立健全预算绩效管理和支出标准体系，将绩效管理融入预算管理全过程，科学合理编制绩效目标指标，加强绩效监控和评价结果应用。</w:t>
      </w:r>
    </w:p>
    <w:p>
      <w:pPr>
        <w:overflowPunct w:val="0"/>
        <w:autoSpaceDE w:val="0"/>
        <w:autoSpaceDN w:val="0"/>
        <w:adjustRightInd w:val="0"/>
        <w:snapToGrid w:val="0"/>
        <w:spacing w:line="560" w:lineRule="exact"/>
        <w:ind w:firstLine="627" w:firstLineChars="196"/>
        <w:rPr>
          <w:rFonts w:ascii="楷体_GB2312" w:eastAsia="楷体_GB2312" w:hAnsi="仿宋"/>
          <w:b/>
          <w:sz w:val="32"/>
          <w:szCs w:val="32"/>
        </w:rPr>
      </w:pPr>
      <w:r>
        <w:rPr>
          <w:rFonts w:ascii="楷体_GB2312" w:eastAsia="楷体_GB2312" w:hAnsi="仿宋" w:hint="eastAsia"/>
          <w:b/>
          <w:sz w:val="32"/>
          <w:szCs w:val="32"/>
        </w:rPr>
        <w:t>（三）2023年财政预算草案</w:t>
      </w:r>
    </w:p>
    <w:p>
      <w:pPr>
        <w:overflowPunct w:val="0"/>
        <w:autoSpaceDE w:val="0"/>
        <w:autoSpaceDN w:val="0"/>
        <w:adjustRightInd w:val="0"/>
        <w:snapToGrid w:val="0"/>
        <w:spacing w:line="560" w:lineRule="exact"/>
        <w:ind w:firstLine="627" w:firstLineChars="196"/>
        <w:rPr>
          <w:rFonts w:ascii="仿宋_GB2312" w:eastAsia="仿宋_GB2312" w:hAnsi="仿宋"/>
          <w:b/>
          <w:sz w:val="32"/>
          <w:szCs w:val="32"/>
        </w:rPr>
      </w:pPr>
      <w:r>
        <w:rPr>
          <w:rFonts w:ascii="仿宋_GB2312" w:eastAsia="仿宋_GB2312" w:hAnsi="仿宋" w:hint="eastAsia"/>
          <w:b/>
          <w:sz w:val="32"/>
          <w:szCs w:val="32"/>
        </w:rPr>
        <w:t>1.一般公共预算</w:t>
      </w:r>
    </w:p>
    <w:p>
      <w:pPr>
        <w:overflowPunct w:val="0"/>
        <w:autoSpaceDE w:val="0"/>
        <w:autoSpaceDN w:val="0"/>
        <w:adjustRightInd w:val="0"/>
        <w:snapToGrid w:val="0"/>
        <w:spacing w:line="560" w:lineRule="exact"/>
        <w:ind w:firstLine="640" w:firstLineChars="200"/>
        <w:rPr>
          <w:rFonts w:ascii="仿宋_GB2312" w:eastAsia="仿宋_GB2312" w:hAnsi="仿宋"/>
          <w:sz w:val="32"/>
          <w:szCs w:val="32"/>
        </w:rPr>
      </w:pPr>
      <w:r>
        <w:rPr>
          <w:rFonts w:ascii="仿宋_GB2312" w:eastAsia="仿宋_GB2312" w:hAnsi="仿宋" w:hint="eastAsia"/>
          <w:sz w:val="32"/>
          <w:szCs w:val="32"/>
        </w:rPr>
        <w:t>综合考虑全区经济发展形势和政策性增减收因素，</w:t>
      </w:r>
      <w:r>
        <w:rPr>
          <w:rFonts w:ascii="仿宋_GB2312" w:eastAsia="仿宋_GB2312" w:hAnsi="仿宋" w:cs="仿宋_GB2312" w:hint="eastAsia"/>
          <w:kern w:val="0"/>
          <w:sz w:val="32"/>
          <w:szCs w:val="32"/>
        </w:rPr>
        <w:t>2023年区级一般公共财政预算收入拟安排132000万元，增长6%以上，加上上级财力性补助5702万元，</w:t>
      </w:r>
      <w:r>
        <w:rPr>
          <w:rFonts w:ascii="仿宋_GB2312" w:eastAsia="仿宋_GB2312" w:hAnsi="仿宋" w:hint="eastAsia"/>
          <w:sz w:val="32"/>
          <w:szCs w:val="32"/>
        </w:rPr>
        <w:t>为实现当年财政收支平衡，保证全区运转及民生政策支出需要，安排调入政府性基金206000万元，根据再融资债券申请情况，安排一般债券转贷收入58900万元，根据上级财政部门提前下达的转移支付情况，安排提前下达转移支付资金收入40045万元，安排上年结转资金收入30949</w:t>
      </w:r>
      <w:r>
        <w:rPr>
          <w:rFonts w:ascii="仿宋_GB2312" w:eastAsia="仿宋_GB2312" w:hAnsi="仿宋" w:cs="仿宋_GB2312" w:hint="eastAsia"/>
          <w:kern w:val="0"/>
          <w:sz w:val="32"/>
          <w:szCs w:val="32"/>
        </w:rPr>
        <w:t>万元，全区公共财政预算总收入拟安排467894万元</w:t>
      </w:r>
      <w:r>
        <w:rPr>
          <w:rFonts w:ascii="仿宋_GB2312" w:eastAsia="仿宋_GB2312" w:hAnsi="仿宋" w:hint="eastAsia"/>
          <w:sz w:val="32"/>
          <w:szCs w:val="32"/>
        </w:rPr>
        <w:t>。一般公共预算支出拟安排335783万元（含上年结转资金支出30949</w:t>
      </w:r>
      <w:r>
        <w:rPr>
          <w:rFonts w:ascii="仿宋_GB2312" w:eastAsia="仿宋_GB2312" w:hAnsi="仿宋" w:cs="仿宋_GB2312" w:hint="eastAsia"/>
          <w:kern w:val="0"/>
          <w:sz w:val="32"/>
          <w:szCs w:val="32"/>
        </w:rPr>
        <w:t>万元</w:t>
      </w:r>
      <w:r>
        <w:rPr>
          <w:rFonts w:ascii="仿宋_GB2312" w:eastAsia="仿宋_GB2312" w:hAnsi="仿宋" w:hint="eastAsia"/>
          <w:sz w:val="32"/>
          <w:szCs w:val="32"/>
        </w:rPr>
        <w:t>），上解支出73099万元，债务还本支出59012万元，一般公共预算总支出拟安排467894万元，年度预算收支安排平衡。区级一般公共预算支出安排简况如下：</w:t>
      </w:r>
    </w:p>
    <w:p>
      <w:pPr>
        <w:overflowPunct w:val="0"/>
        <w:autoSpaceDE w:val="0"/>
        <w:autoSpaceDN w:val="0"/>
        <w:adjustRightInd w:val="0"/>
        <w:snapToGrid w:val="0"/>
        <w:spacing w:line="560" w:lineRule="exact"/>
        <w:ind w:firstLine="640" w:firstLineChars="200"/>
        <w:rPr>
          <w:rFonts w:ascii="仿宋_GB2312" w:eastAsia="仿宋_GB2312" w:hAnsi="黑体" w:cs="宋体"/>
          <w:b/>
          <w:color w:val="000000"/>
          <w:kern w:val="0"/>
          <w:sz w:val="32"/>
          <w:szCs w:val="32"/>
        </w:rPr>
      </w:pPr>
      <w:r>
        <w:rPr>
          <w:rFonts w:ascii="仿宋_GB2312" w:eastAsia="仿宋_GB2312" w:hAnsi="黑体" w:cs="宋体" w:hint="eastAsia"/>
          <w:b/>
          <w:color w:val="000000"/>
          <w:kern w:val="0"/>
          <w:sz w:val="32"/>
          <w:szCs w:val="32"/>
        </w:rPr>
        <w:t>第一类“保工资、保运转、保民生、保债务”的必保支出，共计250527万元（含再融资债券58900万元）。</w:t>
      </w:r>
    </w:p>
    <w:p>
      <w:pPr>
        <w:overflowPunct w:val="0"/>
        <w:autoSpaceDE w:val="0"/>
        <w:autoSpaceDN w:val="0"/>
        <w:adjustRightInd w:val="0"/>
        <w:snapToGrid w:val="0"/>
        <w:spacing w:line="560" w:lineRule="exact"/>
        <w:ind w:firstLine="640" w:firstLineChars="200"/>
        <w:rPr>
          <w:rFonts w:ascii="仿宋_GB2312" w:eastAsia="仿宋_GB2312" w:hAnsi="黑体" w:cs="宋体"/>
          <w:b/>
          <w:color w:val="000000"/>
          <w:kern w:val="0"/>
          <w:sz w:val="32"/>
          <w:szCs w:val="32"/>
        </w:rPr>
      </w:pPr>
      <w:r>
        <w:rPr>
          <w:rFonts w:ascii="仿宋_GB2312" w:eastAsia="仿宋_GB2312" w:hAnsi="黑体" w:cs="宋体" w:hint="eastAsia"/>
          <w:b/>
          <w:color w:val="000000"/>
          <w:kern w:val="0"/>
          <w:sz w:val="32"/>
          <w:szCs w:val="32"/>
        </w:rPr>
        <w:t>（1）人员工资及社会保障缴费支出约91384万元</w:t>
      </w:r>
      <w:r>
        <w:rPr>
          <w:rFonts w:ascii="仿宋_GB2312" w:eastAsia="仿宋_GB2312" w:hAnsi="黑体" w:cs="宋体" w:hint="eastAsia"/>
          <w:color w:val="000000"/>
          <w:kern w:val="0"/>
          <w:sz w:val="32"/>
          <w:szCs w:val="32"/>
        </w:rPr>
        <w:t>，安排原则为凡是现已出台的涉及个人待遇全部安排，不留缺口。包括工资、津补贴、绩效工资、年终一次性奖金、车改补贴、通讯补贴、乡镇补贴、物业补贴、取暖费、绩效奖、住房公积金、福利费、养老工伤医疗生育四险、伤残补助、遗属补助、社区干部工资保险、政府核定的劳务派遣人员工资保险、信访、审计、司法、公安、安监、纪检等专项津补贴。</w:t>
      </w:r>
    </w:p>
    <w:p>
      <w:pPr>
        <w:overflowPunct w:val="0"/>
        <w:autoSpaceDE w:val="0"/>
        <w:autoSpaceDN w:val="0"/>
        <w:adjustRightInd w:val="0"/>
        <w:snapToGrid w:val="0"/>
        <w:spacing w:line="560" w:lineRule="exact"/>
        <w:ind w:firstLine="640" w:firstLineChars="200"/>
        <w:rPr>
          <w:rFonts w:ascii="仿宋_GB2312" w:eastAsia="仿宋_GB2312" w:hAnsi="黑体" w:cs="宋体"/>
          <w:color w:val="000000"/>
          <w:kern w:val="0"/>
          <w:sz w:val="32"/>
          <w:szCs w:val="32"/>
        </w:rPr>
      </w:pPr>
      <w:r>
        <w:rPr>
          <w:rFonts w:ascii="仿宋_GB2312" w:eastAsia="仿宋_GB2312" w:hAnsi="黑体" w:cs="宋体" w:hint="eastAsia"/>
          <w:b/>
          <w:color w:val="000000"/>
          <w:kern w:val="0"/>
          <w:sz w:val="32"/>
          <w:szCs w:val="32"/>
        </w:rPr>
        <w:t>（2）机关运转公用经费支出6680万元</w:t>
      </w:r>
      <w:r>
        <w:rPr>
          <w:rFonts w:ascii="仿宋_GB2312" w:eastAsia="仿宋_GB2312" w:hAnsi="黑体" w:cs="宋体" w:hint="eastAsia"/>
          <w:color w:val="000000"/>
          <w:kern w:val="0"/>
          <w:sz w:val="32"/>
          <w:szCs w:val="32"/>
        </w:rPr>
        <w:t>，其中：标准定额公用经费支出安排4680万元，较上年减少720万元。执收执罚单位超标准定额公用经费支出安排2000万元，较上年减少1500万元。支出安排较上年减少的原因：2023年起法院、检察院经费管理划转市级。</w:t>
      </w:r>
    </w:p>
    <w:p>
      <w:pPr>
        <w:overflowPunct w:val="0"/>
        <w:autoSpaceDE w:val="0"/>
        <w:autoSpaceDN w:val="0"/>
        <w:adjustRightInd w:val="0"/>
        <w:snapToGrid w:val="0"/>
        <w:spacing w:line="560" w:lineRule="exact"/>
        <w:ind w:firstLine="640" w:firstLineChars="200"/>
        <w:rPr>
          <w:rFonts w:ascii="仿宋_GB2312" w:eastAsia="仿宋_GB2312" w:hAnsi="黑体" w:cs="宋体"/>
          <w:color w:val="000000"/>
          <w:kern w:val="0"/>
          <w:sz w:val="32"/>
          <w:szCs w:val="32"/>
        </w:rPr>
      </w:pPr>
      <w:r>
        <w:rPr>
          <w:rFonts w:ascii="仿宋_GB2312" w:eastAsia="仿宋_GB2312" w:hAnsi="黑体" w:cs="宋体" w:hint="eastAsia"/>
          <w:b/>
          <w:color w:val="000000"/>
          <w:kern w:val="0"/>
          <w:sz w:val="32"/>
          <w:szCs w:val="32"/>
        </w:rPr>
        <w:t>（3）民生及政策性支出10882万元</w:t>
      </w:r>
      <w:r>
        <w:rPr>
          <w:rFonts w:ascii="仿宋_GB2312" w:eastAsia="仿宋_GB2312" w:hAnsi="黑体" w:cs="宋体" w:hint="eastAsia"/>
          <w:color w:val="000000"/>
          <w:kern w:val="0"/>
          <w:sz w:val="32"/>
          <w:szCs w:val="32"/>
        </w:rPr>
        <w:t>，主要安排教育、卫生、社保、民政、退役军人等保障支出，具体安排为：2023年城乡居民基本医疗保险政府补助资金2700万元、退休、死亡、转移人员职业年金虚账记实资金1800万元、基本公共卫生服务项目1023万元、计划生育“奖特扶”补贴740万元、城乡低保550万元、高龄老人生活补贴410万元、2023年企业养老风险储备金360万元等民生政策性支出。</w:t>
      </w:r>
    </w:p>
    <w:p>
      <w:pPr>
        <w:overflowPunct w:val="0"/>
        <w:autoSpaceDE w:val="0"/>
        <w:autoSpaceDN w:val="0"/>
        <w:adjustRightInd w:val="0"/>
        <w:snapToGrid w:val="0"/>
        <w:spacing w:line="560" w:lineRule="exact"/>
        <w:ind w:firstLine="640" w:firstLineChars="200"/>
        <w:rPr>
          <w:rFonts w:ascii="仿宋_GB2312" w:eastAsia="仿宋_GB2312" w:hAnsi="黑体" w:cs="宋体"/>
          <w:color w:val="000000"/>
          <w:kern w:val="0"/>
          <w:sz w:val="32"/>
          <w:szCs w:val="32"/>
        </w:rPr>
      </w:pPr>
      <w:r>
        <w:rPr>
          <w:rFonts w:ascii="仿宋_GB2312" w:eastAsia="仿宋_GB2312" w:hAnsi="黑体" w:cs="宋体" w:hint="eastAsia"/>
          <w:b/>
          <w:color w:val="000000"/>
          <w:kern w:val="0"/>
          <w:sz w:val="32"/>
          <w:szCs w:val="32"/>
        </w:rPr>
        <w:t>（4）债务支出141581万元</w:t>
      </w:r>
      <w:r>
        <w:rPr>
          <w:rFonts w:ascii="仿宋_GB2312" w:eastAsia="仿宋_GB2312" w:hAnsi="黑体" w:cs="宋体" w:hint="eastAsia"/>
          <w:color w:val="000000"/>
          <w:kern w:val="0"/>
          <w:sz w:val="32"/>
          <w:szCs w:val="32"/>
        </w:rPr>
        <w:t>，主要为：</w:t>
      </w:r>
      <w:r>
        <w:rPr>
          <w:rFonts w:ascii="仿宋_GB2312" w:eastAsia="仿宋_GB2312" w:hAnsi="黑体" w:cs="宋体" w:hint="eastAsia"/>
          <w:b/>
          <w:color w:val="000000"/>
          <w:kern w:val="0"/>
          <w:sz w:val="32"/>
          <w:szCs w:val="32"/>
        </w:rPr>
        <w:t>一是</w:t>
      </w:r>
      <w:r>
        <w:rPr>
          <w:rFonts w:ascii="仿宋_GB2312" w:eastAsia="仿宋_GB2312" w:hAnsi="黑体" w:cs="宋体" w:hint="eastAsia"/>
          <w:color w:val="000000"/>
          <w:kern w:val="0"/>
          <w:sz w:val="32"/>
          <w:szCs w:val="32"/>
        </w:rPr>
        <w:t>偿还当年到期政府一般债券本息84310万元（含再融资债券58900万元）、发行及服务费71万元；</w:t>
      </w:r>
      <w:r>
        <w:rPr>
          <w:rFonts w:ascii="仿宋_GB2312" w:eastAsia="仿宋_GB2312" w:hAnsi="黑体" w:cs="宋体" w:hint="eastAsia"/>
          <w:b/>
          <w:color w:val="000000"/>
          <w:kern w:val="0"/>
          <w:sz w:val="32"/>
          <w:szCs w:val="32"/>
        </w:rPr>
        <w:t>二是</w:t>
      </w:r>
      <w:r>
        <w:rPr>
          <w:rFonts w:ascii="仿宋_GB2312" w:eastAsia="仿宋_GB2312" w:hAnsi="黑体" w:cs="宋体" w:hint="eastAsia"/>
          <w:color w:val="000000"/>
          <w:kern w:val="0"/>
          <w:sz w:val="32"/>
          <w:szCs w:val="32"/>
        </w:rPr>
        <w:t>偿还当年到期隐性债务本息57200万元。</w:t>
      </w:r>
    </w:p>
    <w:p>
      <w:pPr>
        <w:overflowPunct w:val="0"/>
        <w:autoSpaceDE w:val="0"/>
        <w:autoSpaceDN w:val="0"/>
        <w:adjustRightInd w:val="0"/>
        <w:snapToGrid w:val="0"/>
        <w:spacing w:line="560" w:lineRule="exact"/>
        <w:ind w:firstLine="640" w:firstLineChars="200"/>
        <w:rPr>
          <w:rFonts w:ascii="仿宋_GB2312" w:eastAsia="仿宋_GB2312" w:hAnsi="黑体" w:cs="宋体"/>
          <w:b/>
          <w:color w:val="000000"/>
          <w:kern w:val="0"/>
          <w:sz w:val="32"/>
          <w:szCs w:val="32"/>
        </w:rPr>
      </w:pPr>
      <w:r>
        <w:rPr>
          <w:rFonts w:ascii="仿宋_GB2312" w:eastAsia="仿宋_GB2312" w:hAnsi="黑体" w:cs="宋体" w:hint="eastAsia"/>
          <w:b/>
          <w:color w:val="000000"/>
          <w:kern w:val="0"/>
          <w:sz w:val="32"/>
          <w:szCs w:val="32"/>
        </w:rPr>
        <w:t>第二类维持全区基本运转的一般性支出49218万元。</w:t>
      </w:r>
    </w:p>
    <w:p>
      <w:pPr>
        <w:overflowPunct w:val="0"/>
        <w:autoSpaceDE w:val="0"/>
        <w:autoSpaceDN w:val="0"/>
        <w:adjustRightInd w:val="0"/>
        <w:snapToGrid w:val="0"/>
        <w:spacing w:line="560" w:lineRule="exact"/>
        <w:ind w:firstLine="640" w:firstLineChars="20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主要为：预留调资及公教人员死亡抚恤金14000万元、环卫市场化5200万元、大石庙东山道路工程3143万元、税务事业费3000万元、生物质清洁取暖2845万元、社区服务群众专项经费1300万元、农村环卫一体化项目1249万元、道路维修养护1000万元、路灯维护及电费812万元等。</w:t>
      </w:r>
    </w:p>
    <w:p>
      <w:pPr>
        <w:overflowPunct w:val="0"/>
        <w:autoSpaceDE w:val="0"/>
        <w:autoSpaceDN w:val="0"/>
        <w:adjustRightInd w:val="0"/>
        <w:snapToGrid w:val="0"/>
        <w:spacing w:line="560" w:lineRule="exact"/>
        <w:ind w:firstLine="640" w:firstLineChars="200"/>
        <w:rPr>
          <w:rFonts w:ascii="仿宋_GB2312" w:eastAsia="仿宋_GB2312" w:hAnsi="黑体" w:cs="宋体"/>
          <w:b/>
          <w:color w:val="000000"/>
          <w:kern w:val="0"/>
          <w:sz w:val="32"/>
          <w:szCs w:val="32"/>
        </w:rPr>
      </w:pPr>
      <w:r>
        <w:rPr>
          <w:rFonts w:ascii="仿宋_GB2312" w:eastAsia="仿宋_GB2312" w:hAnsi="黑体" w:cs="宋体" w:hint="eastAsia"/>
          <w:b/>
          <w:color w:val="000000"/>
          <w:kern w:val="0"/>
          <w:sz w:val="32"/>
          <w:szCs w:val="32"/>
        </w:rPr>
        <w:t>第三类消化全区以前年度历史欠账支出15200万元。</w:t>
      </w:r>
    </w:p>
    <w:p>
      <w:pPr>
        <w:overflowPunct w:val="0"/>
        <w:autoSpaceDE w:val="0"/>
        <w:autoSpaceDN w:val="0"/>
        <w:adjustRightInd w:val="0"/>
        <w:snapToGrid w:val="0"/>
        <w:spacing w:line="560" w:lineRule="exact"/>
        <w:ind w:firstLine="640" w:firstLineChars="20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主要为：拟安排解决民生欠账资金15200万元。</w:t>
      </w:r>
    </w:p>
    <w:p>
      <w:pPr>
        <w:overflowPunct w:val="0"/>
        <w:autoSpaceDE w:val="0"/>
        <w:autoSpaceDN w:val="0"/>
        <w:adjustRightInd w:val="0"/>
        <w:snapToGrid w:val="0"/>
        <w:spacing w:line="560" w:lineRule="exact"/>
        <w:ind w:firstLine="640" w:firstLineChars="200"/>
        <w:rPr>
          <w:rFonts w:ascii="仿宋_GB2312" w:eastAsia="仿宋_GB2312" w:hAnsi="黑体" w:cs="宋体"/>
          <w:b/>
          <w:color w:val="000000"/>
          <w:kern w:val="0"/>
          <w:sz w:val="32"/>
          <w:szCs w:val="32"/>
        </w:rPr>
      </w:pPr>
      <w:r>
        <w:rPr>
          <w:rFonts w:ascii="仿宋_GB2312" w:eastAsia="仿宋_GB2312" w:hAnsi="黑体" w:cs="宋体" w:hint="eastAsia"/>
          <w:b/>
          <w:color w:val="000000"/>
          <w:kern w:val="0"/>
          <w:sz w:val="32"/>
          <w:szCs w:val="32"/>
        </w:rPr>
        <w:t>第四类新增项目支出28153万元。</w:t>
      </w:r>
    </w:p>
    <w:p>
      <w:pPr>
        <w:overflowPunct w:val="0"/>
        <w:autoSpaceDE w:val="0"/>
        <w:autoSpaceDN w:val="0"/>
        <w:adjustRightInd w:val="0"/>
        <w:snapToGrid w:val="0"/>
        <w:spacing w:line="560" w:lineRule="exact"/>
        <w:ind w:firstLine="640" w:firstLineChars="20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主要为：区统筹项目经费10000万元、新增重点项目建设经费6153万元、预备费3000万元、乡村振兴事业发展经费3000万元、全区小街小巷综合整治经费2000万元、双创工作经费2000万元、全区“招商、引资、引智”经费1000万元、全区重点项目前期费500万元、全区应急抢险经费500万元等。</w:t>
      </w:r>
    </w:p>
    <w:p>
      <w:pPr>
        <w:overflowPunct w:val="0"/>
        <w:autoSpaceDE w:val="0"/>
        <w:autoSpaceDN w:val="0"/>
        <w:adjustRightInd w:val="0"/>
        <w:snapToGrid w:val="0"/>
        <w:spacing w:line="560" w:lineRule="exact"/>
        <w:ind w:firstLine="645"/>
        <w:rPr>
          <w:rFonts w:ascii="仿宋_GB2312" w:eastAsia="仿宋_GB2312" w:hAnsi="仿宋"/>
          <w:b/>
          <w:sz w:val="32"/>
          <w:szCs w:val="32"/>
        </w:rPr>
      </w:pPr>
      <w:r>
        <w:rPr>
          <w:rFonts w:ascii="仿宋_GB2312" w:eastAsia="仿宋_GB2312" w:hAnsi="仿宋" w:hint="eastAsia"/>
          <w:b/>
          <w:sz w:val="32"/>
          <w:szCs w:val="32"/>
        </w:rPr>
        <w:t>2.政府性基金预算</w:t>
      </w:r>
    </w:p>
    <w:p>
      <w:pPr>
        <w:overflowPunct w:val="0"/>
        <w:autoSpaceDE w:val="0"/>
        <w:autoSpaceDN w:val="0"/>
        <w:adjustRightInd w:val="0"/>
        <w:snapToGrid w:val="0"/>
        <w:spacing w:line="560" w:lineRule="exact"/>
        <w:ind w:firstLine="645"/>
        <w:rPr>
          <w:rFonts w:ascii="仿宋_GB2312" w:eastAsia="仿宋_GB2312" w:hAnsi="仿宋"/>
          <w:sz w:val="32"/>
          <w:szCs w:val="32"/>
        </w:rPr>
      </w:pPr>
      <w:r>
        <w:rPr>
          <w:rFonts w:ascii="仿宋_GB2312" w:eastAsia="仿宋_GB2312" w:hAnsi="仿宋" w:hint="eastAsia"/>
          <w:sz w:val="32"/>
          <w:szCs w:val="32"/>
        </w:rPr>
        <w:t>2023年基金预算收入拟安排5700万元，根据目前上级下达和预计下达的政府性基金转移支付情况，2023年</w:t>
      </w:r>
      <w:r>
        <w:rPr>
          <w:rFonts w:ascii="仿宋_GB2312" w:eastAsia="仿宋_GB2312" w:hAnsi="仿宋" w:hint="eastAsia"/>
          <w:color w:val="000000"/>
          <w:sz w:val="32"/>
          <w:szCs w:val="32"/>
        </w:rPr>
        <w:t>安排政府性基金转移支付收入263513万元，</w:t>
      </w:r>
      <w:r>
        <w:rPr>
          <w:rFonts w:ascii="仿宋_GB2312" w:eastAsia="仿宋_GB2312" w:hAnsi="仿宋" w:hint="eastAsia"/>
          <w:sz w:val="32"/>
          <w:szCs w:val="32"/>
        </w:rPr>
        <w:t>安排上年结转政府性基金收入39158万元，全区政府性基金预算总收入拟安排308371万元。政府性基金支出拟安排54741万元，调入一般公共预算206000万元，上解支出5130万元，债务还本支出42500万元，政府性基金总支出308371万元，政府性基金预算收支平衡。政府性基金支出简况如下：（1）债务支出5275万元；（2）土地开发相关支出48896万元；（3）环卫市场化服务费570万元。</w:t>
      </w:r>
    </w:p>
    <w:p>
      <w:pPr>
        <w:overflowPunct w:val="0"/>
        <w:autoSpaceDE w:val="0"/>
        <w:autoSpaceDN w:val="0"/>
        <w:adjustRightInd w:val="0"/>
        <w:snapToGrid w:val="0"/>
        <w:spacing w:line="560" w:lineRule="exact"/>
        <w:ind w:firstLine="645"/>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3.国有资本经营预算</w:t>
      </w:r>
    </w:p>
    <w:p>
      <w:pPr>
        <w:overflowPunct w:val="0"/>
        <w:autoSpaceDE w:val="0"/>
        <w:autoSpaceDN w:val="0"/>
        <w:adjustRightInd w:val="0"/>
        <w:snapToGrid w:val="0"/>
        <w:spacing w:line="56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2023年国有资本经营预算收入拟安排278万元，全部为上年结转转移支付收入，国有资本经营支出拟安排278万元，国有资本经营收支平衡。</w:t>
      </w:r>
    </w:p>
    <w:p>
      <w:pPr>
        <w:overflowPunct w:val="0"/>
        <w:autoSpaceDE w:val="0"/>
        <w:autoSpaceDN w:val="0"/>
        <w:adjustRightInd w:val="0"/>
        <w:snapToGrid w:val="0"/>
        <w:spacing w:line="560" w:lineRule="exact"/>
        <w:ind w:firstLine="645"/>
        <w:rPr>
          <w:rFonts w:ascii="仿宋_GB2312" w:eastAsia="仿宋_GB2312" w:hAnsi="仿宋"/>
          <w:b/>
          <w:sz w:val="32"/>
          <w:szCs w:val="32"/>
        </w:rPr>
      </w:pPr>
      <w:r>
        <w:rPr>
          <w:rFonts w:ascii="仿宋_GB2312" w:eastAsia="仿宋_GB2312" w:hAnsi="仿宋" w:hint="eastAsia"/>
          <w:b/>
          <w:sz w:val="32"/>
          <w:szCs w:val="32"/>
        </w:rPr>
        <w:t>4.社会保险基金预算</w:t>
      </w:r>
    </w:p>
    <w:p>
      <w:pPr>
        <w:overflowPunct w:val="0"/>
        <w:autoSpaceDE w:val="0"/>
        <w:autoSpaceDN w:val="0"/>
        <w:adjustRightInd w:val="0"/>
        <w:snapToGrid w:val="0"/>
        <w:spacing w:line="560" w:lineRule="exact"/>
        <w:ind w:firstLine="645"/>
        <w:rPr>
          <w:rFonts w:ascii="仿宋_GB2312" w:eastAsia="仿宋_GB2312" w:hAnsi="仿宋"/>
          <w:sz w:val="32"/>
          <w:szCs w:val="32"/>
        </w:rPr>
      </w:pPr>
      <w:r>
        <w:rPr>
          <w:rFonts w:ascii="仿宋_GB2312" w:eastAsia="仿宋_GB2312" w:hAnsi="仿宋" w:hint="eastAsia"/>
          <w:sz w:val="32"/>
          <w:szCs w:val="32"/>
        </w:rPr>
        <w:t>2023年社会保险基金预算收入拟安排103547万元，安排上年结转社保基金支出33982万元，社会保险基金支出拟安排102397万元，社会保险基金结余35132万元。</w:t>
      </w:r>
    </w:p>
    <w:p>
      <w:pPr>
        <w:overflowPunct w:val="0"/>
        <w:autoSpaceDE w:val="0"/>
        <w:autoSpaceDN w:val="0"/>
        <w:adjustRightInd w:val="0"/>
        <w:snapToGrid w:val="0"/>
        <w:spacing w:line="560" w:lineRule="exact"/>
        <w:ind w:firstLine="640" w:firstLineChars="200"/>
        <w:rPr>
          <w:rFonts w:ascii="黑体" w:eastAsia="黑体" w:hAnsi="黑体"/>
          <w:sz w:val="32"/>
          <w:szCs w:val="32"/>
        </w:rPr>
      </w:pPr>
      <w:r>
        <w:rPr>
          <w:rFonts w:ascii="黑体" w:eastAsia="黑体" w:hAnsi="黑体" w:hint="eastAsia"/>
          <w:sz w:val="32"/>
          <w:szCs w:val="32"/>
        </w:rPr>
        <w:t>三、2023年财政重点工作</w:t>
      </w:r>
    </w:p>
    <w:p>
      <w:pPr>
        <w:overflowPunct w:val="0"/>
        <w:autoSpaceDE w:val="0"/>
        <w:autoSpaceDN w:val="0"/>
        <w:adjustRightInd w:val="0"/>
        <w:spacing w:line="560" w:lineRule="exact"/>
        <w:ind w:firstLine="640" w:firstLineChars="200"/>
        <w:jc w:val="left"/>
        <w:rPr>
          <w:rFonts w:ascii="仿宋_GB2312" w:eastAsia="仿宋_GB2312" w:hAnsi="仿宋"/>
          <w:sz w:val="32"/>
          <w:szCs w:val="32"/>
        </w:rPr>
      </w:pPr>
      <w:r>
        <w:rPr>
          <w:rFonts w:ascii="仿宋_GB2312" w:eastAsia="仿宋_GB2312" w:hAnsi="仿宋" w:hint="eastAsia"/>
          <w:sz w:val="32"/>
          <w:szCs w:val="32"/>
        </w:rPr>
        <w:t>2023年是贯彻</w:t>
      </w:r>
      <w:r>
        <w:rPr>
          <w:rFonts w:ascii="仿宋_GB2312" w:eastAsia="仿宋_GB2312" w:hAnsi="仿宋" w:hint="eastAsia"/>
          <w:sz w:val="32"/>
          <w:szCs w:val="32"/>
        </w:rPr>
        <w:t>党的二十大精神</w:t>
      </w:r>
      <w:r>
        <w:rPr>
          <w:rFonts w:ascii="仿宋_GB2312" w:eastAsia="仿宋_GB2312" w:hAnsi="仿宋" w:hint="eastAsia"/>
          <w:sz w:val="32"/>
          <w:szCs w:val="32"/>
        </w:rPr>
        <w:t>的开局之年，是实施“十四五”规划承上启下的关键一年，做好财政工作至关重要。我们坚持稳字当头、稳中求进总基调，持续深化改革、扩大开放、促进发展，紧紧围绕全区决策部署，强化预算执行管理，增强财政保障能力。</w:t>
      </w:r>
    </w:p>
    <w:p>
      <w:pPr>
        <w:overflowPunct w:val="0"/>
        <w:autoSpaceDE w:val="0"/>
        <w:autoSpaceDN w:val="0"/>
        <w:adjustRightInd w:val="0"/>
        <w:snapToGrid w:val="0"/>
        <w:spacing w:line="560" w:lineRule="exact"/>
        <w:ind w:firstLine="640" w:firstLineChars="200"/>
        <w:jc w:val="left"/>
        <w:rPr>
          <w:rFonts w:ascii="仿宋_GB2312" w:eastAsia="仿宋_GB2312" w:hAnsi="仿宋" w:cs="宋体"/>
          <w:kern w:val="0"/>
          <w:sz w:val="32"/>
          <w:szCs w:val="32"/>
        </w:rPr>
      </w:pPr>
      <w:r>
        <w:rPr>
          <w:rFonts w:ascii="楷体_GB2312" w:eastAsia="楷体_GB2312" w:hAnsi="仿宋" w:cs="宋体" w:hint="eastAsia"/>
          <w:b/>
          <w:kern w:val="0"/>
          <w:sz w:val="32"/>
          <w:szCs w:val="32"/>
        </w:rPr>
        <w:t>（一）坚持政治引领，不断加强党的全面领导</w:t>
      </w:r>
      <w:r>
        <w:rPr>
          <w:rFonts w:ascii="仿宋_GB2312" w:eastAsia="仿宋_GB2312" w:hAnsi="仿宋" w:cs="宋体" w:hint="eastAsia"/>
          <w:b/>
          <w:kern w:val="0"/>
          <w:sz w:val="32"/>
          <w:szCs w:val="32"/>
        </w:rPr>
        <w:t>。</w:t>
      </w:r>
      <w:r>
        <w:rPr>
          <w:rFonts w:ascii="仿宋_GB2312" w:eastAsia="仿宋_GB2312" w:hAnsi="仿宋" w:cs="宋体" w:hint="eastAsia"/>
          <w:kern w:val="0"/>
          <w:sz w:val="32"/>
          <w:szCs w:val="32"/>
        </w:rPr>
        <w:t>全面学习、把握、落实</w:t>
      </w:r>
      <w:r>
        <w:rPr>
          <w:rFonts w:ascii="仿宋_GB2312" w:eastAsia="仿宋_GB2312" w:hAnsi="仿宋" w:cs="宋体" w:hint="eastAsia"/>
          <w:kern w:val="0"/>
          <w:sz w:val="32"/>
          <w:szCs w:val="32"/>
        </w:rPr>
        <w:t>党的二十大精神</w:t>
      </w:r>
      <w:r>
        <w:rPr>
          <w:rFonts w:ascii="仿宋_GB2312" w:eastAsia="仿宋_GB2312" w:hAnsi="仿宋" w:cs="宋体" w:hint="eastAsia"/>
          <w:kern w:val="0"/>
          <w:sz w:val="32"/>
          <w:szCs w:val="32"/>
        </w:rPr>
        <w:t>，以习近平新时代中国特色社会主义思想为引领，坚持“以政领财、以财辅政”，始终把牢财政事业改革发展的正确方向，切实把“两个确立”“两个维护”贯彻到财政工作全方面、全过程。以党的建设高质量，引领财政改革高质量。</w:t>
      </w:r>
    </w:p>
    <w:p>
      <w:pPr>
        <w:overflowPunct w:val="0"/>
        <w:autoSpaceDE w:val="0"/>
        <w:autoSpaceDN w:val="0"/>
        <w:adjustRightInd w:val="0"/>
        <w:snapToGrid w:val="0"/>
        <w:spacing w:line="560" w:lineRule="exact"/>
        <w:ind w:firstLine="640" w:firstLineChars="200"/>
        <w:jc w:val="left"/>
        <w:rPr>
          <w:rFonts w:ascii="仿宋_GB2312" w:eastAsia="仿宋_GB2312" w:hAnsi="仿宋" w:cs="宋体"/>
          <w:kern w:val="0"/>
          <w:sz w:val="32"/>
          <w:szCs w:val="32"/>
        </w:rPr>
      </w:pPr>
      <w:r>
        <w:rPr>
          <w:rFonts w:ascii="楷体_GB2312" w:eastAsia="楷体_GB2312" w:hAnsi="仿宋" w:cs="宋体" w:hint="eastAsia"/>
          <w:b/>
          <w:bCs/>
          <w:color w:val="000000" w:themeColor="text1"/>
          <w:kern w:val="0"/>
          <w:sz w:val="32"/>
          <w:szCs w:val="32"/>
        </w:rPr>
        <w:t>（二）坚持目标引领，确保财政收入质优量稳</w:t>
      </w:r>
      <w:r>
        <w:rPr>
          <w:rFonts w:ascii="楷体_GB2312" w:eastAsia="楷体_GB2312" w:hAnsi="仿宋" w:cs="宋体" w:hint="eastAsia"/>
          <w:b/>
          <w:color w:val="000000" w:themeColor="text1"/>
          <w:kern w:val="0"/>
          <w:sz w:val="32"/>
          <w:szCs w:val="32"/>
        </w:rPr>
        <w:t>。</w:t>
      </w:r>
      <w:r>
        <w:rPr>
          <w:rFonts w:ascii="仿宋_GB2312" w:eastAsia="仿宋_GB2312" w:hAnsi="仿宋" w:cs="宋体" w:hint="eastAsia"/>
          <w:color w:val="000000" w:themeColor="text1"/>
          <w:kern w:val="0"/>
          <w:sz w:val="32"/>
          <w:szCs w:val="32"/>
        </w:rPr>
        <w:t>坚决</w:t>
      </w:r>
      <w:r>
        <w:rPr>
          <w:rFonts w:ascii="仿宋_GB2312" w:eastAsia="仿宋_GB2312" w:hAnsi="仿宋" w:cs="宋体" w:hint="eastAsia"/>
          <w:kern w:val="0"/>
          <w:sz w:val="32"/>
          <w:szCs w:val="32"/>
        </w:rPr>
        <w:t>把稳增长放在更加突出的位置，以文化旅游、高端服务、医疗康养等主导产业为支撑，大力培育现代化产业税源，有序把握组织收入的节奏和力度，依法依规做大财政收入“蛋糕”，力争实现财政收入质量、总量“双增长”。探索行政事业单位国有资产统一管理、市场化运行的盘活方式，加大资产处置力度，盘活存量资产，释放沉积资源，紧跟国家政策举措，创新方式做足土地文章，推动土地出让收入增长，持续增强财政保障能力。</w:t>
      </w:r>
    </w:p>
    <w:p>
      <w:pPr>
        <w:overflowPunct w:val="0"/>
        <w:autoSpaceDE w:val="0"/>
        <w:autoSpaceDN w:val="0"/>
        <w:adjustRightInd w:val="0"/>
        <w:snapToGrid w:val="0"/>
        <w:spacing w:line="560" w:lineRule="exact"/>
        <w:ind w:firstLine="640" w:firstLineChars="200"/>
        <w:jc w:val="left"/>
        <w:rPr>
          <w:rFonts w:ascii="楷体_GB2312" w:eastAsia="楷体_GB2312" w:hAnsi="仿宋" w:cs="宋体"/>
          <w:b/>
          <w:kern w:val="0"/>
          <w:sz w:val="32"/>
          <w:szCs w:val="32"/>
        </w:rPr>
      </w:pPr>
      <w:r>
        <w:rPr>
          <w:rFonts w:ascii="楷体_GB2312" w:eastAsia="楷体_GB2312" w:hAnsi="楷体_GB2312" w:cs="楷体_GB2312" w:hint="eastAsia"/>
          <w:b/>
          <w:color w:val="000000"/>
          <w:sz w:val="32"/>
          <w:szCs w:val="32"/>
        </w:rPr>
        <w:t>（三）</w:t>
      </w:r>
      <w:r>
        <w:rPr>
          <w:rFonts w:ascii="楷体_GB2312" w:eastAsia="楷体_GB2312" w:hAnsi="仿宋" w:cs="宋体" w:hint="eastAsia"/>
          <w:b/>
          <w:kern w:val="0"/>
          <w:sz w:val="32"/>
          <w:szCs w:val="32"/>
        </w:rPr>
        <w:t>坚持</w:t>
      </w:r>
      <w:r>
        <w:rPr>
          <w:rFonts w:ascii="楷体_GB2312" w:eastAsia="楷体_GB2312" w:hAnsi="仿宋" w:cs="宋体" w:hint="eastAsia"/>
          <w:b/>
          <w:bCs/>
          <w:color w:val="000000" w:themeColor="text1"/>
          <w:kern w:val="0"/>
          <w:sz w:val="32"/>
          <w:szCs w:val="32"/>
        </w:rPr>
        <w:t>思想引领</w:t>
      </w:r>
      <w:r>
        <w:rPr>
          <w:rFonts w:ascii="楷体_GB2312" w:eastAsia="楷体_GB2312" w:hAnsi="仿宋" w:cs="宋体" w:hint="eastAsia"/>
          <w:b/>
          <w:kern w:val="0"/>
          <w:sz w:val="32"/>
          <w:szCs w:val="32"/>
        </w:rPr>
        <w:t>，牢固树立财政底线思维</w:t>
      </w:r>
      <w:r>
        <w:rPr>
          <w:rFonts w:ascii="仿宋_GB2312" w:eastAsia="仿宋_GB2312" w:hAnsi="仿宋" w:cs="宋体" w:hint="eastAsia"/>
          <w:b/>
          <w:kern w:val="0"/>
          <w:sz w:val="32"/>
          <w:szCs w:val="32"/>
        </w:rPr>
        <w:t>。</w:t>
      </w:r>
      <w:r>
        <w:rPr>
          <w:rFonts w:ascii="仿宋_GB2312" w:eastAsia="仿宋_GB2312" w:hAnsi="仿宋" w:cs="宋体" w:hint="eastAsia"/>
          <w:kern w:val="0"/>
          <w:sz w:val="32"/>
          <w:szCs w:val="32"/>
        </w:rPr>
        <w:t>坚持将“三保”支出作为重要政治任务来抓，全面落实“三保”责任，牢固树立“三保”底线，持续压减一般性支出，科学调度资金，切实做好“三保”工作，坚决守住不发生财政风险“底线”。进一步加强政府性债务管控，完善政府性债务风险应急处置机制，依法依规安排政府债务及隐性债务还本付息，努力做好债务风险化解相关工作，确保不出现系统性区域性债务风险。</w:t>
      </w:r>
    </w:p>
    <w:p>
      <w:pPr>
        <w:pStyle w:val="BodyText"/>
        <w:overflowPunct w:val="0"/>
        <w:autoSpaceDE w:val="0"/>
        <w:autoSpaceDN w:val="0"/>
        <w:adjustRightInd w:val="0"/>
        <w:snapToGrid w:val="0"/>
        <w:spacing w:line="560" w:lineRule="exact"/>
        <w:ind w:firstLine="627" w:firstLineChars="196"/>
        <w:rPr>
          <w:rFonts w:ascii="仿宋_GB2312" w:eastAsia="仿宋_GB2312" w:hAnsi="楷体_GB2312" w:cs="楷体_GB2312"/>
          <w:color w:val="000000"/>
          <w:sz w:val="32"/>
          <w:szCs w:val="32"/>
        </w:rPr>
      </w:pPr>
      <w:r>
        <w:rPr>
          <w:rFonts w:ascii="楷体_GB2312" w:eastAsia="楷体_GB2312" w:hAnsi="楷体_GB2312" w:cs="楷体_GB2312" w:hint="eastAsia"/>
          <w:b/>
          <w:color w:val="000000"/>
          <w:sz w:val="32"/>
          <w:szCs w:val="32"/>
        </w:rPr>
        <w:t>（四）坚持成果引领，全面抓实财税体制改革</w:t>
      </w:r>
      <w:r>
        <w:rPr>
          <w:rFonts w:ascii="仿宋_GB2312" w:eastAsia="仿宋_GB2312" w:hAnsi="楷体_GB2312" w:cs="楷体_GB2312" w:hint="eastAsia"/>
          <w:b/>
          <w:color w:val="000000"/>
          <w:sz w:val="32"/>
          <w:szCs w:val="32"/>
        </w:rPr>
        <w:t>。</w:t>
      </w:r>
      <w:r>
        <w:rPr>
          <w:rFonts w:ascii="仿宋_GB2312" w:eastAsia="仿宋_GB2312" w:hint="eastAsia"/>
          <w:sz w:val="32"/>
          <w:szCs w:val="32"/>
        </w:rPr>
        <w:t>按照国家、省、市深化财税体制改革要求，集中力量攻坚，</w:t>
      </w:r>
      <w:r>
        <w:rPr>
          <w:rFonts w:ascii="仿宋_GB2312" w:eastAsia="仿宋_GB2312" w:hAnsi="楷体_GB2312" w:cs="楷体_GB2312" w:hint="eastAsia"/>
          <w:color w:val="000000"/>
          <w:sz w:val="32"/>
          <w:szCs w:val="32"/>
        </w:rPr>
        <w:t>重点稳妥推进预算管理改革、财政事权和支出责任划分改革、税制改革、政府采购改革等，加快构建符合双桥区实际的现代财政制度体系。重点巩固深化预算绩效管理改革成效，完善预算绩效指标和标准体系，健全评价结果应用和整改制度，对财政资金实行全方位、全过程、全覆盖预算绩效管理，切实做到“花钱必问效、无效必问责”。</w:t>
      </w: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各位代表，做好2023年财政工作，使命光荣，责任重大。我们将在区委的坚强领导下，在区人大和区政协的监督下，以更加开阔的思路、更加有效的举措、更加务实的作风，落实区十一届人大三次会议的决议和要求，努力完成各项目标任务，以更大的担当，更实的作风，更足的干劲，不忘初心，牢记使命，为奋力谱写新时代全面建设首善之区、幸福双桥的崭新篇章而努力奋斗</w:t>
      </w:r>
      <w:r>
        <w:rPr>
          <w:rFonts w:ascii="仿宋_GB2312" w:eastAsia="仿宋_GB2312" w:hAnsi="楷体_GB2312" w:cs="楷体_GB2312"/>
          <w:color w:val="000000"/>
          <w:sz w:val="32"/>
          <w:szCs w:val="32"/>
        </w:rPr>
        <w:t>!</w:t>
      </w: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ind w:firstLine="640" w:firstLineChars="200"/>
        <w:jc w:val="left"/>
        <w:rPr>
          <w:rFonts w:ascii="仿宋_GB2312" w:eastAsia="仿宋_GB2312" w:hAnsi="楷体_GB2312" w:cs="楷体_GB2312"/>
          <w:color w:val="000000"/>
          <w:sz w:val="32"/>
          <w:szCs w:val="32"/>
        </w:rPr>
      </w:pPr>
    </w:p>
    <w:p>
      <w:pPr>
        <w:overflowPunct w:val="0"/>
        <w:autoSpaceDE w:val="0"/>
        <w:autoSpaceDN w:val="0"/>
        <w:adjustRightInd w:val="0"/>
        <w:spacing w:line="560" w:lineRule="exact"/>
        <w:jc w:val="left"/>
        <w:rPr>
          <w:rFonts w:ascii="仿宋_GB2312" w:eastAsia="仿宋_GB2312" w:hAnsi="楷体_GB2312" w:cs="楷体_GB2312"/>
          <w:color w:val="000000"/>
          <w:sz w:val="32"/>
          <w:szCs w:val="32"/>
        </w:rPr>
      </w:pPr>
      <w:bookmarkStart w:id="0" w:name="_GoBack"/>
      <w:bookmarkEnd w:id="0"/>
    </w:p>
    <w:sectPr>
      <w:headerReference w:type="default" r:id="rId6"/>
      <w:footerReference w:type="default" r:id="rId7"/>
      <w:pgSz w:w="11906" w:h="16838"/>
      <w:pgMar w:top="2098" w:right="1474" w:bottom="1985" w:left="1588"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Segoe UI Symbol">
    <w:panose1 w:val="020B0502040204020203"/>
    <w:charset w:val="00"/>
    <w:family w:val="swiss"/>
    <w:pitch w:val="default"/>
    <w:sig w:usb0="8000006F" w:usb1="1200FBEF" w:usb2="0064C000" w:usb3="00000002" w:csb0="00000001" w:csb1="40000000"/>
  </w:font>
  <w:font w:name="汉仪中黑简">
    <w:altName w:val="微软雅黑"/>
    <w:panose1 w:val="00000000000000000000"/>
    <w:charset w:val="86"/>
    <w:family w:val="modern"/>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pict>
        <v:shapetype id="_x0000_t202" coordsize="21600,21600" o:spt="202" path="m,l,21600r21600,l21600,xe">
          <v:stroke joinstyle="miter"/>
          <v:path gradientshapeok="t" o:connecttype="rect"/>
        </v:shapetype>
        <v:shape id="Text Box 1" o:spid="_x0000_s2049" type="#_x0000_t202" style="width:35.05pt;height:18.15pt;margin-top:0;margin-left:0;mso-height-relative:page;mso-position-horizontal:outside;mso-position-horizontal-relative:margin;mso-width-relative:page;mso-wrap-style:none;position:absolute;z-index:251658240" coordsize="21600,21600" filled="f" stroked="f">
          <v:stroke joinstyle="miter"/>
          <v:textbox style="mso-fit-shape-to-text:t" inset="0,0,0,0">
            <w:txbxContent>
              <w:p>
                <w:pPr>
                  <w:pStyle w:val="Footer"/>
                  <w:jc w:val="right"/>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lang w:val="zh-CN"/>
                  </w:rPr>
                  <w:t>-</w:t>
                </w:r>
                <w:r>
                  <w:rPr>
                    <w:rFonts w:ascii="宋体" w:eastAsia="宋体" w:hAnsi="宋体" w:cs="宋体"/>
                    <w:sz w:val="28"/>
                    <w:szCs w:val="28"/>
                  </w:rPr>
                  <w:t xml:space="preserve"> 46 -</w:t>
                </w:r>
                <w:r>
                  <w:rPr>
                    <w:rFonts w:ascii="宋体" w:eastAsia="宋体" w:hAnsi="宋体" w:cs="宋体" w:hint="eastAsia"/>
                    <w:sz w:val="28"/>
                    <w:szCs w:val="28"/>
                    <w:lang w:val="zh-CN"/>
                  </w:rPr>
                  <w:fldChar w:fldCharType="end"/>
                </w:r>
              </w:p>
            </w:txbxContent>
          </v:textbox>
          <w10:wrap anchorx="margin"/>
        </v:shape>
      </w:pict>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09"/>
    <w:rsid w:val="00005D25"/>
    <w:rsid w:val="00007DDE"/>
    <w:rsid w:val="00011386"/>
    <w:rsid w:val="0001671D"/>
    <w:rsid w:val="00023A55"/>
    <w:rsid w:val="000277B6"/>
    <w:rsid w:val="00034855"/>
    <w:rsid w:val="000364C0"/>
    <w:rsid w:val="00036509"/>
    <w:rsid w:val="00037769"/>
    <w:rsid w:val="00046897"/>
    <w:rsid w:val="000553DB"/>
    <w:rsid w:val="000555E6"/>
    <w:rsid w:val="00072EB2"/>
    <w:rsid w:val="00073E97"/>
    <w:rsid w:val="0007506F"/>
    <w:rsid w:val="00093593"/>
    <w:rsid w:val="00097791"/>
    <w:rsid w:val="000A3426"/>
    <w:rsid w:val="000B455C"/>
    <w:rsid w:val="000C2BFF"/>
    <w:rsid w:val="000E6891"/>
    <w:rsid w:val="000E754A"/>
    <w:rsid w:val="000F0505"/>
    <w:rsid w:val="000F5B48"/>
    <w:rsid w:val="000F6EBF"/>
    <w:rsid w:val="0010237E"/>
    <w:rsid w:val="001041C5"/>
    <w:rsid w:val="00105408"/>
    <w:rsid w:val="00110711"/>
    <w:rsid w:val="00110BEE"/>
    <w:rsid w:val="00112770"/>
    <w:rsid w:val="0011615E"/>
    <w:rsid w:val="001239D7"/>
    <w:rsid w:val="0012525B"/>
    <w:rsid w:val="00132281"/>
    <w:rsid w:val="0013550F"/>
    <w:rsid w:val="001369D5"/>
    <w:rsid w:val="00141B99"/>
    <w:rsid w:val="0014442D"/>
    <w:rsid w:val="00151571"/>
    <w:rsid w:val="00157E68"/>
    <w:rsid w:val="00162BA3"/>
    <w:rsid w:val="00164387"/>
    <w:rsid w:val="00183966"/>
    <w:rsid w:val="001A4FAC"/>
    <w:rsid w:val="001A5C41"/>
    <w:rsid w:val="001B09DC"/>
    <w:rsid w:val="001B3882"/>
    <w:rsid w:val="001C3049"/>
    <w:rsid w:val="001C3CD9"/>
    <w:rsid w:val="001D48B2"/>
    <w:rsid w:val="001D53E2"/>
    <w:rsid w:val="001E3099"/>
    <w:rsid w:val="001E7622"/>
    <w:rsid w:val="001F2703"/>
    <w:rsid w:val="001F6B0A"/>
    <w:rsid w:val="002008ED"/>
    <w:rsid w:val="00201E44"/>
    <w:rsid w:val="0020265A"/>
    <w:rsid w:val="00215327"/>
    <w:rsid w:val="0021691D"/>
    <w:rsid w:val="00220B17"/>
    <w:rsid w:val="002279E0"/>
    <w:rsid w:val="00234ABA"/>
    <w:rsid w:val="00236DFF"/>
    <w:rsid w:val="00240043"/>
    <w:rsid w:val="0024339C"/>
    <w:rsid w:val="002477A5"/>
    <w:rsid w:val="0025028C"/>
    <w:rsid w:val="00251622"/>
    <w:rsid w:val="00267314"/>
    <w:rsid w:val="002762CD"/>
    <w:rsid w:val="0027737A"/>
    <w:rsid w:val="00277F56"/>
    <w:rsid w:val="00284930"/>
    <w:rsid w:val="002942E5"/>
    <w:rsid w:val="00296DF6"/>
    <w:rsid w:val="002B406B"/>
    <w:rsid w:val="002B53B2"/>
    <w:rsid w:val="002B7802"/>
    <w:rsid w:val="002C0E15"/>
    <w:rsid w:val="002C4359"/>
    <w:rsid w:val="002C5551"/>
    <w:rsid w:val="002F3AC0"/>
    <w:rsid w:val="002F73F8"/>
    <w:rsid w:val="003115FF"/>
    <w:rsid w:val="00313CBF"/>
    <w:rsid w:val="00322FC0"/>
    <w:rsid w:val="00324B98"/>
    <w:rsid w:val="003260CD"/>
    <w:rsid w:val="00330EFD"/>
    <w:rsid w:val="003531E8"/>
    <w:rsid w:val="0035533C"/>
    <w:rsid w:val="003728CC"/>
    <w:rsid w:val="003868F7"/>
    <w:rsid w:val="00394332"/>
    <w:rsid w:val="0039533D"/>
    <w:rsid w:val="00397832"/>
    <w:rsid w:val="003979C3"/>
    <w:rsid w:val="003A3752"/>
    <w:rsid w:val="003B036E"/>
    <w:rsid w:val="003C0656"/>
    <w:rsid w:val="003D3800"/>
    <w:rsid w:val="003D5242"/>
    <w:rsid w:val="003E2191"/>
    <w:rsid w:val="003E33FD"/>
    <w:rsid w:val="003F6A05"/>
    <w:rsid w:val="00403E3C"/>
    <w:rsid w:val="00405214"/>
    <w:rsid w:val="00406F3D"/>
    <w:rsid w:val="00412EC3"/>
    <w:rsid w:val="00413DC7"/>
    <w:rsid w:val="004147B2"/>
    <w:rsid w:val="00415817"/>
    <w:rsid w:val="004255D0"/>
    <w:rsid w:val="0045652A"/>
    <w:rsid w:val="0045741A"/>
    <w:rsid w:val="0046368B"/>
    <w:rsid w:val="00487D19"/>
    <w:rsid w:val="004963A1"/>
    <w:rsid w:val="004A16BE"/>
    <w:rsid w:val="004A23EE"/>
    <w:rsid w:val="004A38EF"/>
    <w:rsid w:val="004A3C1B"/>
    <w:rsid w:val="004A7234"/>
    <w:rsid w:val="004B467F"/>
    <w:rsid w:val="004C4997"/>
    <w:rsid w:val="004C4B86"/>
    <w:rsid w:val="004D086C"/>
    <w:rsid w:val="004E4547"/>
    <w:rsid w:val="004E6623"/>
    <w:rsid w:val="0050535C"/>
    <w:rsid w:val="00516B52"/>
    <w:rsid w:val="005176AD"/>
    <w:rsid w:val="005250B5"/>
    <w:rsid w:val="00533F6D"/>
    <w:rsid w:val="00534B11"/>
    <w:rsid w:val="00537069"/>
    <w:rsid w:val="0054735F"/>
    <w:rsid w:val="005474D8"/>
    <w:rsid w:val="00551E70"/>
    <w:rsid w:val="005618E0"/>
    <w:rsid w:val="005653C9"/>
    <w:rsid w:val="00576871"/>
    <w:rsid w:val="005865A4"/>
    <w:rsid w:val="00587CDD"/>
    <w:rsid w:val="00592B52"/>
    <w:rsid w:val="005B0D69"/>
    <w:rsid w:val="005B3076"/>
    <w:rsid w:val="005C041F"/>
    <w:rsid w:val="005C3A0B"/>
    <w:rsid w:val="005E7683"/>
    <w:rsid w:val="00600AC0"/>
    <w:rsid w:val="00605646"/>
    <w:rsid w:val="006107EB"/>
    <w:rsid w:val="00614106"/>
    <w:rsid w:val="006159D5"/>
    <w:rsid w:val="00621B53"/>
    <w:rsid w:val="00631093"/>
    <w:rsid w:val="00642CD6"/>
    <w:rsid w:val="006574CB"/>
    <w:rsid w:val="00670B1E"/>
    <w:rsid w:val="00673387"/>
    <w:rsid w:val="0067613F"/>
    <w:rsid w:val="00682B27"/>
    <w:rsid w:val="0068667A"/>
    <w:rsid w:val="0069566C"/>
    <w:rsid w:val="006A2D54"/>
    <w:rsid w:val="006A3F04"/>
    <w:rsid w:val="006A4609"/>
    <w:rsid w:val="006A5599"/>
    <w:rsid w:val="006B6C65"/>
    <w:rsid w:val="006C4D14"/>
    <w:rsid w:val="006C78FF"/>
    <w:rsid w:val="006E6BFF"/>
    <w:rsid w:val="006F32BF"/>
    <w:rsid w:val="007127A5"/>
    <w:rsid w:val="00712DFA"/>
    <w:rsid w:val="00725030"/>
    <w:rsid w:val="0073184F"/>
    <w:rsid w:val="00731F6F"/>
    <w:rsid w:val="00732F8C"/>
    <w:rsid w:val="0073703B"/>
    <w:rsid w:val="00737525"/>
    <w:rsid w:val="00737A80"/>
    <w:rsid w:val="007613DA"/>
    <w:rsid w:val="00772075"/>
    <w:rsid w:val="0078718D"/>
    <w:rsid w:val="00796B21"/>
    <w:rsid w:val="007A5E85"/>
    <w:rsid w:val="007C060C"/>
    <w:rsid w:val="007C25AF"/>
    <w:rsid w:val="007E1678"/>
    <w:rsid w:val="007E2E5B"/>
    <w:rsid w:val="007E356E"/>
    <w:rsid w:val="007E6A76"/>
    <w:rsid w:val="007E7F1F"/>
    <w:rsid w:val="007F3C6C"/>
    <w:rsid w:val="007F507D"/>
    <w:rsid w:val="00807EB1"/>
    <w:rsid w:val="008105B5"/>
    <w:rsid w:val="008161EB"/>
    <w:rsid w:val="00831FB6"/>
    <w:rsid w:val="0083460D"/>
    <w:rsid w:val="0084067A"/>
    <w:rsid w:val="00843A0C"/>
    <w:rsid w:val="008623D4"/>
    <w:rsid w:val="00866F95"/>
    <w:rsid w:val="0087393E"/>
    <w:rsid w:val="00874AEE"/>
    <w:rsid w:val="00884645"/>
    <w:rsid w:val="008913BD"/>
    <w:rsid w:val="00892303"/>
    <w:rsid w:val="008950A8"/>
    <w:rsid w:val="008A1FE1"/>
    <w:rsid w:val="008A489F"/>
    <w:rsid w:val="008C4D5D"/>
    <w:rsid w:val="008C5829"/>
    <w:rsid w:val="008D677C"/>
    <w:rsid w:val="008E1599"/>
    <w:rsid w:val="008E1E73"/>
    <w:rsid w:val="008E2B98"/>
    <w:rsid w:val="008F48A4"/>
    <w:rsid w:val="00907191"/>
    <w:rsid w:val="009150E5"/>
    <w:rsid w:val="00920EAB"/>
    <w:rsid w:val="00921CA4"/>
    <w:rsid w:val="0093092A"/>
    <w:rsid w:val="00941733"/>
    <w:rsid w:val="009440B5"/>
    <w:rsid w:val="0094461C"/>
    <w:rsid w:val="00946F08"/>
    <w:rsid w:val="00950CFC"/>
    <w:rsid w:val="00957610"/>
    <w:rsid w:val="00972450"/>
    <w:rsid w:val="00975B48"/>
    <w:rsid w:val="00997038"/>
    <w:rsid w:val="009A6729"/>
    <w:rsid w:val="009B1348"/>
    <w:rsid w:val="009B2B87"/>
    <w:rsid w:val="009B479F"/>
    <w:rsid w:val="009D03BB"/>
    <w:rsid w:val="009D3C28"/>
    <w:rsid w:val="009E1D5F"/>
    <w:rsid w:val="009E7E87"/>
    <w:rsid w:val="00A064B1"/>
    <w:rsid w:val="00A07A17"/>
    <w:rsid w:val="00A1023C"/>
    <w:rsid w:val="00A15E4F"/>
    <w:rsid w:val="00A22FCF"/>
    <w:rsid w:val="00A25E58"/>
    <w:rsid w:val="00A36ED3"/>
    <w:rsid w:val="00A37019"/>
    <w:rsid w:val="00A424A8"/>
    <w:rsid w:val="00A430A9"/>
    <w:rsid w:val="00A43C4D"/>
    <w:rsid w:val="00A51C49"/>
    <w:rsid w:val="00A5299A"/>
    <w:rsid w:val="00A6427A"/>
    <w:rsid w:val="00A64D99"/>
    <w:rsid w:val="00A70D62"/>
    <w:rsid w:val="00A75C16"/>
    <w:rsid w:val="00A81318"/>
    <w:rsid w:val="00A85B73"/>
    <w:rsid w:val="00A87DAC"/>
    <w:rsid w:val="00A93685"/>
    <w:rsid w:val="00A93692"/>
    <w:rsid w:val="00A97B16"/>
    <w:rsid w:val="00AA06CA"/>
    <w:rsid w:val="00AA0A01"/>
    <w:rsid w:val="00AA12F5"/>
    <w:rsid w:val="00AC1107"/>
    <w:rsid w:val="00AC4852"/>
    <w:rsid w:val="00AC6C04"/>
    <w:rsid w:val="00AE1D27"/>
    <w:rsid w:val="00AE20B4"/>
    <w:rsid w:val="00AF10AD"/>
    <w:rsid w:val="00AF6D70"/>
    <w:rsid w:val="00B00AD8"/>
    <w:rsid w:val="00B10BF6"/>
    <w:rsid w:val="00B16D7B"/>
    <w:rsid w:val="00B17036"/>
    <w:rsid w:val="00B339F9"/>
    <w:rsid w:val="00B42BF6"/>
    <w:rsid w:val="00B55F61"/>
    <w:rsid w:val="00B651F5"/>
    <w:rsid w:val="00B67ABE"/>
    <w:rsid w:val="00B71D06"/>
    <w:rsid w:val="00B76EA3"/>
    <w:rsid w:val="00B81FF5"/>
    <w:rsid w:val="00B85B57"/>
    <w:rsid w:val="00B877F0"/>
    <w:rsid w:val="00B913A2"/>
    <w:rsid w:val="00B92530"/>
    <w:rsid w:val="00BA7A63"/>
    <w:rsid w:val="00BB4115"/>
    <w:rsid w:val="00BB4B44"/>
    <w:rsid w:val="00BD0335"/>
    <w:rsid w:val="00BE72C4"/>
    <w:rsid w:val="00BF6470"/>
    <w:rsid w:val="00C018A6"/>
    <w:rsid w:val="00C07993"/>
    <w:rsid w:val="00C15549"/>
    <w:rsid w:val="00C17895"/>
    <w:rsid w:val="00C2074D"/>
    <w:rsid w:val="00C31291"/>
    <w:rsid w:val="00C31C21"/>
    <w:rsid w:val="00C37AD5"/>
    <w:rsid w:val="00C62995"/>
    <w:rsid w:val="00C72E0E"/>
    <w:rsid w:val="00C7463D"/>
    <w:rsid w:val="00C821F9"/>
    <w:rsid w:val="00C862DB"/>
    <w:rsid w:val="00C97886"/>
    <w:rsid w:val="00CA1703"/>
    <w:rsid w:val="00CA2653"/>
    <w:rsid w:val="00CA3B2B"/>
    <w:rsid w:val="00CA469A"/>
    <w:rsid w:val="00CB7286"/>
    <w:rsid w:val="00CC4030"/>
    <w:rsid w:val="00CD39FD"/>
    <w:rsid w:val="00CD4931"/>
    <w:rsid w:val="00CE5D98"/>
    <w:rsid w:val="00CE6DC7"/>
    <w:rsid w:val="00CF1491"/>
    <w:rsid w:val="00D02182"/>
    <w:rsid w:val="00D03908"/>
    <w:rsid w:val="00D03CB2"/>
    <w:rsid w:val="00D04759"/>
    <w:rsid w:val="00D13E52"/>
    <w:rsid w:val="00D20D89"/>
    <w:rsid w:val="00D24918"/>
    <w:rsid w:val="00D274DD"/>
    <w:rsid w:val="00D42412"/>
    <w:rsid w:val="00D449C7"/>
    <w:rsid w:val="00D51154"/>
    <w:rsid w:val="00D5146F"/>
    <w:rsid w:val="00D7246C"/>
    <w:rsid w:val="00D80939"/>
    <w:rsid w:val="00D96DF6"/>
    <w:rsid w:val="00D97602"/>
    <w:rsid w:val="00DA2C38"/>
    <w:rsid w:val="00DA57AE"/>
    <w:rsid w:val="00DA781A"/>
    <w:rsid w:val="00DB75F2"/>
    <w:rsid w:val="00DC076C"/>
    <w:rsid w:val="00DC15BE"/>
    <w:rsid w:val="00DC62BE"/>
    <w:rsid w:val="00DC6C0A"/>
    <w:rsid w:val="00DE61C0"/>
    <w:rsid w:val="00DF3327"/>
    <w:rsid w:val="00DF46CE"/>
    <w:rsid w:val="00DF4D5A"/>
    <w:rsid w:val="00DF753A"/>
    <w:rsid w:val="00E11C5A"/>
    <w:rsid w:val="00E16C26"/>
    <w:rsid w:val="00E27090"/>
    <w:rsid w:val="00E30168"/>
    <w:rsid w:val="00E310DA"/>
    <w:rsid w:val="00E3256E"/>
    <w:rsid w:val="00E50301"/>
    <w:rsid w:val="00E571C7"/>
    <w:rsid w:val="00E61557"/>
    <w:rsid w:val="00E701DD"/>
    <w:rsid w:val="00E70805"/>
    <w:rsid w:val="00E83044"/>
    <w:rsid w:val="00E8770E"/>
    <w:rsid w:val="00E93C1B"/>
    <w:rsid w:val="00EA5C37"/>
    <w:rsid w:val="00EA6653"/>
    <w:rsid w:val="00EB5F0C"/>
    <w:rsid w:val="00ED79F2"/>
    <w:rsid w:val="00EE5ABB"/>
    <w:rsid w:val="00EE76D6"/>
    <w:rsid w:val="00EF13B0"/>
    <w:rsid w:val="00F1183E"/>
    <w:rsid w:val="00F122D5"/>
    <w:rsid w:val="00F14B85"/>
    <w:rsid w:val="00F21C5E"/>
    <w:rsid w:val="00F222E5"/>
    <w:rsid w:val="00F26914"/>
    <w:rsid w:val="00F27C0B"/>
    <w:rsid w:val="00F33D70"/>
    <w:rsid w:val="00F4396C"/>
    <w:rsid w:val="00F45BE0"/>
    <w:rsid w:val="00F645FE"/>
    <w:rsid w:val="00F64E9D"/>
    <w:rsid w:val="00F737BF"/>
    <w:rsid w:val="00F76487"/>
    <w:rsid w:val="00F871C6"/>
    <w:rsid w:val="00FB39A8"/>
    <w:rsid w:val="00FC1245"/>
    <w:rsid w:val="00FC70BE"/>
    <w:rsid w:val="00FD1CE6"/>
    <w:rsid w:val="00FD21A0"/>
    <w:rsid w:val="00FD2BCC"/>
    <w:rsid w:val="00FD6080"/>
    <w:rsid w:val="00FD7ABD"/>
    <w:rsid w:val="00FE33FC"/>
    <w:rsid w:val="00FF1D8F"/>
    <w:rsid w:val="0B023055"/>
    <w:rsid w:val="3E902C96"/>
    <w:rsid w:val="5E6E2326"/>
    <w:rsid w:val="62B10C98"/>
    <w:rsid w:val="63334E14"/>
  </w:rsids>
  <w:docVars>
    <w:docVar w:name="commondata" w:val="eyJoZGlkIjoiZjEzOTQ5ZWFkMzZmZDExYzA1YzllOGQ1NjM5ZTIyNW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semiHidden="0" w:uiPriority="0" w:unhideWhenUsed="0"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uiPriority="0" w:unhideWhenUsed="0" w:qFormat="1"/>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Char2"/>
    <w:semiHidden/>
    <w:qFormat/>
    <w:pPr>
      <w:shd w:val="clear" w:color="auto" w:fill="000080"/>
    </w:pPr>
    <w:rPr>
      <w:rFonts w:ascii="Times New Roman" w:eastAsia="宋体" w:hAnsi="Times New Roman" w:cs="Times New Roman"/>
      <w:szCs w:val="24"/>
    </w:rPr>
  </w:style>
  <w:style w:type="paragraph" w:styleId="BodyText">
    <w:name w:val="Body Text"/>
    <w:basedOn w:val="Normal"/>
    <w:link w:val="Char1"/>
    <w:qFormat/>
  </w:style>
  <w:style w:type="paragraph" w:styleId="Date">
    <w:name w:val="Date"/>
    <w:basedOn w:val="Normal"/>
    <w:next w:val="Normal"/>
    <w:link w:val="Char3"/>
    <w:qFormat/>
    <w:pPr>
      <w:ind w:left="100" w:leftChars="2500"/>
    </w:pPr>
    <w:rPr>
      <w:rFonts w:ascii="Times New Roman" w:eastAsia="宋体" w:hAnsi="Times New Roman" w:cs="Times New Roman"/>
      <w:szCs w:val="24"/>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semiHidden/>
    <w:unhideWhenUsed/>
    <w:rPr>
      <w:color w:val="0000FF"/>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NormalCharacter">
    <w:name w:val="NormalCharacter"/>
    <w:uiPriority w:val="99"/>
    <w:semiHidden/>
    <w:qFormat/>
  </w:style>
  <w:style w:type="character" w:customStyle="1" w:styleId="Char1">
    <w:name w:val="正文文本 Char"/>
    <w:basedOn w:val="DefaultParagraphFont"/>
    <w:link w:val="BodyText"/>
    <w:qFormat/>
  </w:style>
  <w:style w:type="character" w:customStyle="1" w:styleId="91">
    <w:name w:val="91"/>
    <w:basedOn w:val="DefaultParagraphFont"/>
    <w:qFormat/>
    <w:rPr>
      <w:sz w:val="18"/>
      <w:szCs w:val="18"/>
      <w:u w:val="none"/>
    </w:rPr>
  </w:style>
  <w:style w:type="character" w:customStyle="1" w:styleId="Bodytext2Bold">
    <w:name w:val="Body text|2 + Bold"/>
    <w:basedOn w:val="DefaultParagraphFont"/>
    <w:semiHidden/>
    <w:qFormat/>
    <w:rPr>
      <w:rFonts w:ascii="PMingLiU" w:eastAsia="PMingLiU" w:hAnsi="PMingLiU" w:cs="PMingLiU"/>
      <w:b/>
      <w:bCs/>
      <w:color w:val="000000"/>
      <w:spacing w:val="30"/>
      <w:w w:val="100"/>
      <w:kern w:val="0"/>
      <w:position w:val="0"/>
      <w:sz w:val="28"/>
      <w:szCs w:val="28"/>
      <w:u w:val="none"/>
      <w:lang w:val="zh-CN" w:eastAsia="zh-CN"/>
    </w:rPr>
  </w:style>
  <w:style w:type="character" w:customStyle="1" w:styleId="Bodytext2">
    <w:name w:val="Body text|2_"/>
    <w:basedOn w:val="DefaultParagraphFont"/>
    <w:link w:val="Bodytext20"/>
    <w:qFormat/>
    <w:locked/>
    <w:rPr>
      <w:rFonts w:ascii="PMingLiU" w:eastAsia="PMingLiU" w:hAnsi="PMingLiU"/>
      <w:spacing w:val="40"/>
      <w:kern w:val="0"/>
      <w:sz w:val="28"/>
      <w:szCs w:val="28"/>
      <w:shd w:val="clear" w:color="auto" w:fill="FFFFFF"/>
    </w:rPr>
  </w:style>
  <w:style w:type="paragraph" w:customStyle="1" w:styleId="Bodytext20">
    <w:name w:val="Body text|2"/>
    <w:basedOn w:val="Normal"/>
    <w:link w:val="Bodytext2"/>
    <w:qFormat/>
    <w:pPr>
      <w:shd w:val="clear" w:color="auto" w:fill="FFFFFF"/>
      <w:spacing w:before="1200" w:after="1280" w:line="280" w:lineRule="exact"/>
      <w:jc w:val="center"/>
    </w:pPr>
    <w:rPr>
      <w:rFonts w:ascii="PMingLiU" w:eastAsia="PMingLiU" w:hAnsi="PMingLiU"/>
      <w:spacing w:val="40"/>
      <w:kern w:val="0"/>
      <w:sz w:val="28"/>
      <w:szCs w:val="28"/>
    </w:rPr>
  </w:style>
  <w:style w:type="character" w:customStyle="1" w:styleId="Char2">
    <w:name w:val="文档结构图 Char"/>
    <w:basedOn w:val="DefaultParagraphFont"/>
    <w:link w:val="DocumentMap"/>
    <w:semiHidden/>
    <w:qFormat/>
    <w:rPr>
      <w:rFonts w:ascii="Times New Roman" w:eastAsia="宋体" w:hAnsi="Times New Roman" w:cs="Times New Roman"/>
      <w:szCs w:val="24"/>
      <w:shd w:val="clear" w:color="auto" w:fill="000080"/>
    </w:rPr>
  </w:style>
  <w:style w:type="character" w:customStyle="1" w:styleId="Char3">
    <w:name w:val="日期 Char"/>
    <w:basedOn w:val="DefaultParagraphFont"/>
    <w:link w:val="Date"/>
    <w:qFormat/>
    <w:rPr>
      <w:rFonts w:ascii="Times New Roman" w:eastAsia="宋体" w:hAnsi="Times New Roman" w:cs="Times New Roman"/>
      <w:szCs w:val="24"/>
    </w:rPr>
  </w:style>
  <w:style w:type="paragraph" w:customStyle="1" w:styleId="Char4">
    <w:name w:val="Char"/>
    <w:basedOn w:val="Normal"/>
    <w:qFormat/>
    <w:rPr>
      <w:rFonts w:ascii="Times New Roman" w:eastAsia="宋体" w:hAnsi="Times New Roman" w:cs="Times New Roman"/>
      <w:szCs w:val="21"/>
    </w:rPr>
  </w:style>
  <w:style w:type="paragraph" w:styleId="ListParagraph">
    <w:name w:val="List Paragraph"/>
    <w:basedOn w:val="Normal"/>
    <w:uiPriority w:val="99"/>
    <w:qFormat/>
    <w:pPr>
      <w:ind w:firstLine="420" w:firstLineChars="200"/>
    </w:pPr>
  </w:style>
  <w:style w:type="paragraph" w:customStyle="1" w:styleId="font5">
    <w:name w:val="font5"/>
    <w:basedOn w:val="Normal"/>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DB936-36E0-4BF0-B69E-9D129D0AD7EB}">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47</Pages>
  <Words>16143</Words>
  <Characters>20563</Characters>
  <Application>Microsoft Office Word</Application>
  <DocSecurity>0</DocSecurity>
  <Lines>183</Lines>
  <Paragraphs>51</Paragraphs>
  <ScaleCrop>false</ScaleCrop>
  <Company>微软中国</Company>
  <LinksUpToDate>false</LinksUpToDate>
  <CharactersWithSpaces>23022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WPS_1625540474</cp:lastModifiedBy>
  <cp:revision>254</cp:revision>
  <cp:lastPrinted>2023-01-10T14:37:00Z</cp:lastPrinted>
  <dcterms:created xsi:type="dcterms:W3CDTF">2022-01-18T08:57:00Z</dcterms:created>
  <dcterms:modified xsi:type="dcterms:W3CDTF">2023-03-06T06:40:48Z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C8892BE63D954788B43126B4CE86EBDC</vt:lpwstr>
  </property>
  <property fmtid="{D5CDD505-2E9C-101B-9397-08002B2CF9AE}" pid="3" name="KSOProductBuildVer">
    <vt:lpwstr>2052-11.1.0.13703</vt:lpwstr>
  </property>
</Properties>
</file>