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 xml:space="preserve">   </w:t>
      </w:r>
      <w:r>
        <w:rPr>
          <w:rFonts w:hint="eastAsia"/>
          <w:b/>
          <w:sz w:val="44"/>
          <w:szCs w:val="44"/>
        </w:rPr>
        <w:t>中共双桥区委党校</w:t>
      </w:r>
    </w:p>
    <w:p>
      <w:pPr>
        <w:jc w:val="center"/>
        <w:rPr>
          <w:b/>
          <w:sz w:val="44"/>
          <w:szCs w:val="44"/>
        </w:rPr>
      </w:pPr>
      <w:r>
        <w:rPr>
          <w:rFonts w:hint="eastAsia"/>
          <w:b/>
          <w:sz w:val="44"/>
          <w:szCs w:val="44"/>
        </w:rPr>
        <w:t>部门</w:t>
      </w:r>
      <w:r>
        <w:rPr>
          <w:rFonts w:ascii="宋体" w:hAnsi="宋体"/>
          <w:b/>
          <w:sz w:val="44"/>
          <w:szCs w:val="44"/>
        </w:rPr>
        <w:t>201</w:t>
      </w:r>
      <w:r>
        <w:rPr>
          <w:rFonts w:hint="eastAsia" w:ascii="宋体" w:hAnsi="宋体"/>
          <w:b/>
          <w:sz w:val="44"/>
          <w:szCs w:val="44"/>
          <w:lang w:val="en-US" w:eastAsia="zh-CN"/>
        </w:rPr>
        <w:t>9</w:t>
      </w:r>
      <w:r>
        <w:rPr>
          <w:rFonts w:hint="eastAsia"/>
          <w:b/>
          <w:sz w:val="44"/>
          <w:szCs w:val="44"/>
        </w:rPr>
        <w:t>年预算公开情况说明</w:t>
      </w:r>
    </w:p>
    <w:p>
      <w:pPr>
        <w:ind w:firstLine="640" w:firstLineChars="200"/>
        <w:rPr>
          <w:rFonts w:ascii="??_GB2312" w:eastAsia="Times New Roman"/>
          <w:sz w:val="32"/>
          <w:szCs w:val="32"/>
        </w:rPr>
      </w:pPr>
    </w:p>
    <w:p>
      <w:pPr>
        <w:ind w:firstLine="640" w:firstLineChars="200"/>
        <w:rPr>
          <w:rFonts w:eastAsia="方正仿宋_GBK"/>
          <w:sz w:val="32"/>
          <w:szCs w:val="32"/>
        </w:rPr>
      </w:pPr>
      <w:r>
        <w:rPr>
          <w:rFonts w:ascii="??_GB2312" w:eastAsia="Times New Roman"/>
          <w:sz w:val="32"/>
          <w:szCs w:val="32"/>
        </w:rPr>
        <w:t>按照《中华人民共和国预算法》、《地方预决算公开操作规程》和《承德市市级预算公开办法》规定，现将201</w:t>
      </w:r>
      <w:r>
        <w:rPr>
          <w:rFonts w:hint="eastAsia" w:ascii="??_GB2312"/>
          <w:sz w:val="32"/>
          <w:szCs w:val="32"/>
          <w:lang w:val="en-US" w:eastAsia="zh-CN"/>
        </w:rPr>
        <w:t>9</w:t>
      </w:r>
      <w:r>
        <w:rPr>
          <w:rFonts w:ascii="??_GB2312" w:eastAsia="Times New Roman"/>
          <w:sz w:val="32"/>
          <w:szCs w:val="32"/>
        </w:rPr>
        <w:t>年部门预算公开如下</w:t>
      </w:r>
      <w:r>
        <w:rPr>
          <w:rFonts w:hint="eastAsia" w:eastAsia="方正仿宋_GBK"/>
          <w:sz w:val="32"/>
          <w:szCs w:val="32"/>
        </w:rPr>
        <w:t>：</w:t>
      </w:r>
    </w:p>
    <w:p>
      <w:pPr>
        <w:spacing w:line="560" w:lineRule="exact"/>
        <w:ind w:firstLine="964" w:firstLineChars="300"/>
        <w:rPr>
          <w:rFonts w:ascii="黑体" w:eastAsia="黑体"/>
          <w:b/>
          <w:bCs/>
          <w:sz w:val="32"/>
        </w:rPr>
      </w:pPr>
      <w:r>
        <w:rPr>
          <w:rFonts w:hint="eastAsia" w:ascii="黑体" w:eastAsia="黑体"/>
          <w:b/>
          <w:bCs/>
          <w:sz w:val="32"/>
        </w:rPr>
        <w:t>一、部门主要职责及机构设置情况</w:t>
      </w:r>
    </w:p>
    <w:p>
      <w:pPr>
        <w:spacing w:line="560" w:lineRule="exact"/>
        <w:ind w:firstLine="1124" w:firstLineChars="350"/>
        <w:rPr>
          <w:rFonts w:ascii="宋体"/>
          <w:b/>
          <w:bCs/>
          <w:sz w:val="32"/>
        </w:rPr>
      </w:pPr>
      <w:r>
        <w:rPr>
          <w:rFonts w:ascii="宋体" w:hAnsi="宋体"/>
          <w:b/>
          <w:bCs/>
          <w:sz w:val="32"/>
        </w:rPr>
        <w:t>1</w:t>
      </w:r>
      <w:r>
        <w:rPr>
          <w:rFonts w:hint="eastAsia" w:ascii="宋体" w:hAnsi="宋体"/>
          <w:b/>
          <w:bCs/>
          <w:sz w:val="32"/>
        </w:rPr>
        <w:t>、部门职责：</w:t>
      </w:r>
    </w:p>
    <w:p>
      <w:pPr>
        <w:ind w:firstLine="640" w:firstLineChars="200"/>
        <w:rPr>
          <w:rFonts w:ascii="??_GB2312" w:eastAsia="Times New Roman"/>
          <w:sz w:val="32"/>
          <w:szCs w:val="32"/>
        </w:rPr>
      </w:pPr>
      <w:r>
        <w:rPr>
          <w:rFonts w:ascii="??_GB2312" w:eastAsia="Times New Roman"/>
          <w:sz w:val="32"/>
          <w:szCs w:val="32"/>
        </w:rPr>
        <w:t>（一）贯彻执行党的路线、方针、政策和国家的法律、法规。</w:t>
      </w:r>
    </w:p>
    <w:p>
      <w:pPr>
        <w:ind w:firstLine="640" w:firstLineChars="200"/>
        <w:rPr>
          <w:rFonts w:ascii="??_GB2312" w:eastAsia="Times New Roman"/>
          <w:sz w:val="32"/>
          <w:szCs w:val="32"/>
        </w:rPr>
      </w:pPr>
      <w:r>
        <w:rPr>
          <w:rFonts w:ascii="??_GB2312" w:eastAsia="Times New Roman"/>
          <w:sz w:val="32"/>
          <w:szCs w:val="32"/>
        </w:rPr>
        <w:t>（二）培养高等专科学历人才，促进科技文化发展。</w:t>
      </w:r>
    </w:p>
    <w:p>
      <w:pPr>
        <w:ind w:firstLine="640" w:firstLineChars="200"/>
        <w:rPr>
          <w:rFonts w:ascii="??_GB2312" w:eastAsia="Times New Roman"/>
          <w:sz w:val="32"/>
          <w:szCs w:val="32"/>
        </w:rPr>
      </w:pPr>
      <w:r>
        <w:rPr>
          <w:rFonts w:ascii="??_GB2312" w:eastAsia="Times New Roman"/>
          <w:sz w:val="32"/>
          <w:szCs w:val="32"/>
        </w:rPr>
        <w:t>（三）负责理论学习研究、学术交流研讨等。</w:t>
      </w:r>
    </w:p>
    <w:p>
      <w:pPr>
        <w:ind w:firstLine="640" w:firstLineChars="200"/>
        <w:rPr>
          <w:rFonts w:ascii="??_GB2312" w:eastAsia="Times New Roman"/>
          <w:sz w:val="32"/>
          <w:szCs w:val="32"/>
        </w:rPr>
      </w:pPr>
      <w:r>
        <w:rPr>
          <w:rFonts w:ascii="??_GB2312" w:eastAsia="Times New Roman"/>
          <w:sz w:val="32"/>
          <w:szCs w:val="32"/>
        </w:rPr>
        <w:t>（四）协同纪检委、组织部、宣传部、人事局、人武部和群团共同研究制定全区干部教育培训计划。</w:t>
      </w:r>
    </w:p>
    <w:p>
      <w:pPr>
        <w:ind w:firstLine="640" w:firstLineChars="200"/>
        <w:rPr>
          <w:rFonts w:ascii="??_GB2312" w:eastAsia="Times New Roman"/>
          <w:sz w:val="32"/>
          <w:szCs w:val="32"/>
        </w:rPr>
      </w:pPr>
      <w:r>
        <w:rPr>
          <w:rFonts w:ascii="??_GB2312" w:eastAsia="Times New Roman"/>
          <w:sz w:val="32"/>
          <w:szCs w:val="32"/>
        </w:rPr>
        <w:t>（五）实行目标牵动，促进全区干部教育培训工作的有效完成。</w:t>
      </w:r>
    </w:p>
    <w:p>
      <w:pPr>
        <w:ind w:firstLine="640" w:firstLineChars="200"/>
        <w:rPr>
          <w:rFonts w:ascii="??_GB2312" w:eastAsia="Times New Roman"/>
          <w:sz w:val="32"/>
          <w:szCs w:val="32"/>
        </w:rPr>
      </w:pPr>
      <w:r>
        <w:rPr>
          <w:rFonts w:ascii="??_GB2312" w:eastAsia="Times New Roman"/>
          <w:sz w:val="32"/>
          <w:szCs w:val="32"/>
        </w:rPr>
        <w:t>（六）着眼全区两个文明建设中的若干重大现实问题，与时俱进地进行理论研究和创新。</w:t>
      </w:r>
    </w:p>
    <w:p>
      <w:pPr>
        <w:ind w:firstLine="960" w:firstLineChars="300"/>
        <w:rPr>
          <w:rFonts w:ascii="??_GB2312"/>
          <w:sz w:val="32"/>
          <w:szCs w:val="32"/>
        </w:rPr>
      </w:pPr>
      <w:r>
        <w:rPr>
          <w:rFonts w:hint="eastAsia" w:ascii="??_GB2312"/>
          <w:sz w:val="32"/>
          <w:szCs w:val="32"/>
        </w:rPr>
        <w:t>中共双桥区委党校根据工作需要，设有办公室、教研室两个内设机构。</w:t>
      </w:r>
    </w:p>
    <w:p>
      <w:pPr>
        <w:spacing w:line="240" w:lineRule="atLeast"/>
        <w:ind w:firstLine="602" w:firstLineChars="200"/>
        <w:rPr>
          <w:rFonts w:ascii="楷体_GB2312" w:eastAsia="楷体_GB2312"/>
          <w:sz w:val="30"/>
        </w:rPr>
      </w:pPr>
      <w:r>
        <w:rPr>
          <w:rFonts w:ascii="楷体_GB2312" w:eastAsia="楷体_GB2312"/>
          <w:b/>
          <w:sz w:val="30"/>
        </w:rPr>
        <w:t xml:space="preserve">   </w:t>
      </w:r>
      <w:r>
        <w:rPr>
          <w:rFonts w:ascii="楷体_GB2312" w:eastAsia="楷体_GB2312"/>
          <w:sz w:val="30"/>
        </w:rPr>
        <w:t xml:space="preserve"> </w:t>
      </w:r>
    </w:p>
    <w:p>
      <w:pPr>
        <w:spacing w:line="240" w:lineRule="atLeast"/>
        <w:ind w:firstLine="600" w:firstLineChars="200"/>
        <w:rPr>
          <w:rFonts w:ascii="楷体_GB2312" w:eastAsia="楷体_GB2312"/>
          <w:sz w:val="30"/>
        </w:rPr>
      </w:pPr>
    </w:p>
    <w:p>
      <w:pPr>
        <w:spacing w:line="240" w:lineRule="atLeast"/>
        <w:ind w:firstLine="643" w:firstLineChars="200"/>
        <w:rPr>
          <w:rFonts w:ascii="宋体"/>
          <w:b/>
          <w:bCs/>
          <w:sz w:val="32"/>
        </w:rPr>
      </w:pPr>
      <w:r>
        <w:rPr>
          <w:rFonts w:ascii="宋体" w:hAnsi="宋体"/>
          <w:b/>
          <w:bCs/>
          <w:sz w:val="32"/>
        </w:rPr>
        <w:t>2</w:t>
      </w:r>
      <w:r>
        <w:rPr>
          <w:rFonts w:hint="eastAsia" w:ascii="宋体" w:hAnsi="宋体"/>
          <w:b/>
          <w:bCs/>
          <w:sz w:val="32"/>
        </w:rPr>
        <w:t>、机构设置：</w:t>
      </w:r>
    </w:p>
    <w:p>
      <w:pPr>
        <w:jc w:val="center"/>
        <w:outlineLvl w:val="0"/>
        <w:rPr>
          <w:rFonts w:eastAsia="方正小标宋_GBK"/>
          <w:sz w:val="32"/>
          <w:szCs w:val="24"/>
        </w:rPr>
      </w:pPr>
      <w:r>
        <w:rPr>
          <w:rFonts w:hint="eastAsia" w:eastAsia="方正小标宋_GBK"/>
          <w:sz w:val="32"/>
          <w:szCs w:val="24"/>
        </w:rPr>
        <w:t>部门机构设置情况</w:t>
      </w:r>
    </w:p>
    <w:tbl>
      <w:tblPr>
        <w:tblStyle w:val="6"/>
        <w:tblW w:w="11245" w:type="dxa"/>
        <w:jc w:val="center"/>
        <w:tblInd w:w="-59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74"/>
        <w:gridCol w:w="1123"/>
        <w:gridCol w:w="2874"/>
        <w:gridCol w:w="2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0" w:hRule="atLeast"/>
          <w:tblHeader/>
          <w:jc w:val="center"/>
        </w:trPr>
        <w:tc>
          <w:tcPr>
            <w:tcW w:w="4374" w:type="dxa"/>
            <w:vAlign w:val="center"/>
          </w:tcPr>
          <w:p>
            <w:pPr>
              <w:spacing w:line="300" w:lineRule="exact"/>
              <w:jc w:val="center"/>
              <w:rPr>
                <w:rFonts w:eastAsia="方正书宋_GBK"/>
                <w:b/>
                <w:szCs w:val="24"/>
              </w:rPr>
            </w:pPr>
            <w:r>
              <w:rPr>
                <w:rFonts w:hint="eastAsia" w:eastAsia="方正书宋_GBK"/>
                <w:b/>
                <w:szCs w:val="24"/>
              </w:rPr>
              <w:t>机构名称</w:t>
            </w:r>
          </w:p>
        </w:tc>
        <w:tc>
          <w:tcPr>
            <w:tcW w:w="1123" w:type="dxa"/>
            <w:vAlign w:val="center"/>
          </w:tcPr>
          <w:p>
            <w:pPr>
              <w:spacing w:line="300" w:lineRule="exact"/>
              <w:jc w:val="center"/>
              <w:rPr>
                <w:rFonts w:eastAsia="方正书宋_GBK"/>
                <w:b/>
                <w:szCs w:val="24"/>
              </w:rPr>
            </w:pPr>
            <w:r>
              <w:rPr>
                <w:rFonts w:hint="eastAsia" w:eastAsia="方正书宋_GBK"/>
                <w:b/>
                <w:szCs w:val="24"/>
              </w:rPr>
              <w:t>机构性质</w:t>
            </w:r>
          </w:p>
        </w:tc>
        <w:tc>
          <w:tcPr>
            <w:tcW w:w="2874" w:type="dxa"/>
          </w:tcPr>
          <w:p>
            <w:pPr>
              <w:spacing w:line="300" w:lineRule="exact"/>
              <w:jc w:val="center"/>
              <w:rPr>
                <w:rFonts w:eastAsia="方正书宋_GBK"/>
                <w:b/>
                <w:szCs w:val="24"/>
              </w:rPr>
            </w:pPr>
            <w:r>
              <w:rPr>
                <w:rFonts w:hint="eastAsia" w:eastAsia="方正书宋_GBK"/>
                <w:b/>
                <w:szCs w:val="24"/>
              </w:rPr>
              <w:t>单位规格</w:t>
            </w:r>
          </w:p>
        </w:tc>
        <w:tc>
          <w:tcPr>
            <w:tcW w:w="2874" w:type="dxa"/>
            <w:vAlign w:val="center"/>
          </w:tcPr>
          <w:p>
            <w:pPr>
              <w:spacing w:line="300" w:lineRule="exact"/>
              <w:jc w:val="center"/>
              <w:rPr>
                <w:rFonts w:eastAsia="方正书宋_GBK"/>
                <w:b/>
                <w:szCs w:val="24"/>
              </w:rPr>
            </w:pPr>
            <w:r>
              <w:rPr>
                <w:rFonts w:hint="eastAsia"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74" w:type="dxa"/>
            <w:vAlign w:val="center"/>
          </w:tcPr>
          <w:p>
            <w:pPr>
              <w:spacing w:line="300" w:lineRule="exact"/>
              <w:jc w:val="center"/>
              <w:rPr>
                <w:rFonts w:ascii="方正书宋_GBK" w:eastAsia="方正书宋_GBK"/>
              </w:rPr>
            </w:pPr>
            <w:r>
              <w:rPr>
                <w:rFonts w:hint="eastAsia" w:ascii="方正书宋_GBK" w:eastAsia="方正书宋_GBK"/>
              </w:rPr>
              <w:t>办公室</w:t>
            </w:r>
          </w:p>
        </w:tc>
        <w:tc>
          <w:tcPr>
            <w:tcW w:w="1123" w:type="dxa"/>
            <w:vAlign w:val="center"/>
          </w:tcPr>
          <w:p>
            <w:pPr>
              <w:spacing w:line="300" w:lineRule="exact"/>
              <w:jc w:val="center"/>
              <w:rPr>
                <w:rFonts w:eastAsia="方正书宋_GBK"/>
                <w:szCs w:val="24"/>
              </w:rPr>
            </w:pPr>
            <w:r>
              <w:rPr>
                <w:rFonts w:hint="eastAsia" w:ascii="方正书宋_GBK" w:eastAsia="方正书宋_GBK"/>
              </w:rPr>
              <w:t>事业</w:t>
            </w:r>
          </w:p>
        </w:tc>
        <w:tc>
          <w:tcPr>
            <w:tcW w:w="2874" w:type="dxa"/>
          </w:tcPr>
          <w:p>
            <w:pPr>
              <w:spacing w:line="300" w:lineRule="exact"/>
              <w:jc w:val="center"/>
              <w:rPr>
                <w:rFonts w:ascii="方正书宋_GBK" w:eastAsia="方正书宋_GBK"/>
              </w:rPr>
            </w:pPr>
            <w:r>
              <w:rPr>
                <w:rFonts w:hint="eastAsia" w:ascii="方正书宋_GBK" w:eastAsia="方正书宋_GBK"/>
              </w:rPr>
              <w:t>股级</w:t>
            </w:r>
          </w:p>
        </w:tc>
        <w:tc>
          <w:tcPr>
            <w:tcW w:w="2874" w:type="dxa"/>
            <w:vAlign w:val="center"/>
          </w:tcPr>
          <w:p>
            <w:pPr>
              <w:spacing w:line="300" w:lineRule="exact"/>
              <w:jc w:val="center"/>
              <w:rPr>
                <w:rFonts w:eastAsia="方正书宋_GBK"/>
                <w:szCs w:val="24"/>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74" w:type="dxa"/>
            <w:vAlign w:val="center"/>
          </w:tcPr>
          <w:p>
            <w:pPr>
              <w:spacing w:line="300" w:lineRule="exact"/>
              <w:jc w:val="center"/>
              <w:rPr>
                <w:rFonts w:ascii="方正书宋_GBK" w:eastAsia="方正书宋_GBK"/>
              </w:rPr>
            </w:pPr>
            <w:r>
              <w:rPr>
                <w:rFonts w:hint="eastAsia" w:ascii="方正书宋_GBK" w:eastAsia="方正书宋_GBK"/>
              </w:rPr>
              <w:t>教研室</w:t>
            </w:r>
          </w:p>
        </w:tc>
        <w:tc>
          <w:tcPr>
            <w:tcW w:w="1123" w:type="dxa"/>
            <w:vAlign w:val="center"/>
          </w:tcPr>
          <w:p>
            <w:pPr>
              <w:spacing w:line="300" w:lineRule="exact"/>
              <w:jc w:val="center"/>
              <w:rPr>
                <w:rFonts w:eastAsia="方正书宋_GBK"/>
                <w:szCs w:val="24"/>
              </w:rPr>
            </w:pPr>
            <w:r>
              <w:rPr>
                <w:rFonts w:hint="eastAsia" w:ascii="方正书宋_GBK" w:eastAsia="方正书宋_GBK"/>
              </w:rPr>
              <w:t>事业</w:t>
            </w:r>
          </w:p>
        </w:tc>
        <w:tc>
          <w:tcPr>
            <w:tcW w:w="2874" w:type="dxa"/>
          </w:tcPr>
          <w:p>
            <w:pPr>
              <w:spacing w:line="300" w:lineRule="exact"/>
              <w:jc w:val="center"/>
              <w:rPr>
                <w:rFonts w:ascii="方正书宋_GBK" w:eastAsia="方正书宋_GBK"/>
              </w:rPr>
            </w:pPr>
            <w:r>
              <w:rPr>
                <w:rFonts w:hint="eastAsia" w:ascii="方正书宋_GBK" w:eastAsia="方正书宋_GBK"/>
              </w:rPr>
              <w:t>股级</w:t>
            </w:r>
          </w:p>
        </w:tc>
        <w:tc>
          <w:tcPr>
            <w:tcW w:w="2874" w:type="dxa"/>
            <w:vAlign w:val="center"/>
          </w:tcPr>
          <w:p>
            <w:pPr>
              <w:spacing w:line="300" w:lineRule="exact"/>
              <w:jc w:val="center"/>
              <w:rPr>
                <w:rFonts w:eastAsia="方正书宋_GBK"/>
                <w:szCs w:val="24"/>
              </w:rPr>
            </w:pPr>
            <w:r>
              <w:rPr>
                <w:rFonts w:hint="eastAsia" w:ascii="方正书宋_GBK" w:eastAsia="方正书宋_GBK"/>
              </w:rPr>
              <w:t>财政拨款</w:t>
            </w:r>
          </w:p>
        </w:tc>
      </w:tr>
    </w:tbl>
    <w:p>
      <w:pPr>
        <w:spacing w:line="240" w:lineRule="atLeast"/>
        <w:ind w:firstLine="643" w:firstLineChars="200"/>
        <w:rPr>
          <w:rFonts w:ascii="宋体"/>
          <w:b/>
          <w:bCs/>
          <w:sz w:val="32"/>
        </w:rPr>
      </w:pPr>
      <w:r>
        <w:rPr>
          <w:rFonts w:ascii="宋体"/>
          <w:b/>
          <w:bCs/>
          <w:sz w:val="32"/>
        </w:rPr>
        <w:t>3</w:t>
      </w:r>
      <w:r>
        <w:rPr>
          <w:rFonts w:hint="eastAsia" w:ascii="宋体"/>
          <w:b/>
          <w:bCs/>
          <w:sz w:val="32"/>
        </w:rPr>
        <w:t>、人员构成：</w:t>
      </w:r>
    </w:p>
    <w:p>
      <w:pPr>
        <w:spacing w:line="240" w:lineRule="atLeast"/>
        <w:ind w:firstLine="640" w:firstLineChars="200"/>
        <w:rPr>
          <w:rFonts w:ascii="宋体"/>
          <w:b/>
          <w:bCs/>
          <w:sz w:val="32"/>
        </w:rPr>
      </w:pPr>
      <w:r>
        <w:rPr>
          <w:rFonts w:hint="eastAsia" w:ascii="??_GB2312"/>
          <w:sz w:val="32"/>
          <w:szCs w:val="32"/>
        </w:rPr>
        <w:t>中共双桥区委党校行政编制</w:t>
      </w:r>
      <w:r>
        <w:rPr>
          <w:rFonts w:ascii="??_GB2312"/>
          <w:sz w:val="32"/>
          <w:szCs w:val="32"/>
        </w:rPr>
        <w:t>5</w:t>
      </w:r>
      <w:r>
        <w:rPr>
          <w:rFonts w:hint="eastAsia" w:ascii="??_GB2312"/>
          <w:sz w:val="32"/>
          <w:szCs w:val="32"/>
        </w:rPr>
        <w:t>名，事业编制</w:t>
      </w:r>
      <w:r>
        <w:rPr>
          <w:rFonts w:ascii="??_GB2312"/>
          <w:sz w:val="32"/>
          <w:szCs w:val="32"/>
        </w:rPr>
        <w:t>5</w:t>
      </w:r>
      <w:r>
        <w:rPr>
          <w:rFonts w:hint="eastAsia" w:ascii="??_GB2312"/>
          <w:sz w:val="32"/>
          <w:szCs w:val="32"/>
        </w:rPr>
        <w:t>名。</w:t>
      </w:r>
    </w:p>
    <w:p>
      <w:pPr>
        <w:numPr>
          <w:ilvl w:val="0"/>
          <w:numId w:val="1"/>
        </w:numPr>
        <w:spacing w:line="240" w:lineRule="atLeast"/>
        <w:ind w:firstLine="643" w:firstLineChars="200"/>
        <w:rPr>
          <w:rFonts w:ascii="宋体"/>
          <w:b/>
          <w:bCs/>
          <w:sz w:val="32"/>
        </w:rPr>
      </w:pPr>
      <w:r>
        <w:rPr>
          <w:rFonts w:hint="eastAsia" w:ascii="宋体"/>
          <w:b/>
          <w:bCs/>
          <w:sz w:val="32"/>
        </w:rPr>
        <w:t>预算单位构成：</w:t>
      </w:r>
    </w:p>
    <w:p>
      <w:pPr>
        <w:spacing w:line="240" w:lineRule="atLeast"/>
        <w:ind w:firstLine="640" w:firstLineChars="200"/>
        <w:rPr>
          <w:rFonts w:ascii="宋体"/>
          <w:b/>
          <w:bCs/>
          <w:sz w:val="32"/>
        </w:rPr>
      </w:pPr>
      <w:r>
        <w:rPr>
          <w:rFonts w:hint="eastAsia" w:ascii="??_GB2312"/>
          <w:sz w:val="32"/>
          <w:szCs w:val="32"/>
        </w:rPr>
        <w:t>中共双桥区委党校是一级预算单位，无下属预算单位。</w:t>
      </w:r>
    </w:p>
    <w:p>
      <w:pPr>
        <w:numPr>
          <w:ilvl w:val="0"/>
          <w:numId w:val="2"/>
        </w:numPr>
        <w:ind w:firstLine="643" w:firstLineChars="200"/>
        <w:rPr>
          <w:rFonts w:ascii="宋体"/>
          <w:b/>
          <w:sz w:val="32"/>
          <w:szCs w:val="32"/>
        </w:rPr>
      </w:pPr>
      <w:r>
        <w:rPr>
          <w:rFonts w:hint="eastAsia" w:ascii="宋体" w:hAnsi="宋体"/>
          <w:b/>
          <w:sz w:val="32"/>
          <w:szCs w:val="32"/>
        </w:rPr>
        <w:t>部门预算安排的总体情况</w:t>
      </w:r>
    </w:p>
    <w:p>
      <w:pPr>
        <w:numPr>
          <w:ilvl w:val="0"/>
          <w:numId w:val="3"/>
        </w:numPr>
        <w:ind w:firstLine="640"/>
        <w:rPr>
          <w:rFonts w:eastAsia="仿宋"/>
          <w:sz w:val="32"/>
          <w:szCs w:val="32"/>
        </w:rPr>
      </w:pPr>
      <w:r>
        <w:rPr>
          <w:rFonts w:hint="eastAsia" w:eastAsia="仿宋"/>
          <w:sz w:val="32"/>
          <w:szCs w:val="32"/>
        </w:rPr>
        <w:t>收入说明</w:t>
      </w:r>
    </w:p>
    <w:p>
      <w:pPr>
        <w:ind w:firstLine="630"/>
        <w:rPr>
          <w:rFonts w:eastAsia="仿宋"/>
          <w:sz w:val="32"/>
          <w:szCs w:val="32"/>
        </w:rPr>
      </w:pPr>
      <w:r>
        <w:rPr>
          <w:rFonts w:eastAsia="仿宋"/>
          <w:sz w:val="32"/>
          <w:szCs w:val="32"/>
        </w:rPr>
        <w:t>201</w:t>
      </w:r>
      <w:r>
        <w:rPr>
          <w:rFonts w:hint="eastAsia" w:eastAsia="仿宋"/>
          <w:sz w:val="32"/>
          <w:szCs w:val="32"/>
          <w:lang w:val="en-US" w:eastAsia="zh-CN"/>
        </w:rPr>
        <w:t>8</w:t>
      </w:r>
      <w:r>
        <w:rPr>
          <w:rFonts w:hint="eastAsia" w:eastAsia="仿宋"/>
          <w:sz w:val="32"/>
          <w:szCs w:val="32"/>
        </w:rPr>
        <w:t>年财政拨款收入</w:t>
      </w:r>
      <w:r>
        <w:rPr>
          <w:rFonts w:hint="eastAsia" w:eastAsia="仿宋"/>
          <w:sz w:val="32"/>
          <w:szCs w:val="32"/>
          <w:lang w:val="en-US" w:eastAsia="zh-CN"/>
        </w:rPr>
        <w:t>160.06</w:t>
      </w:r>
      <w:r>
        <w:rPr>
          <w:rFonts w:hint="eastAsia" w:eastAsia="仿宋"/>
          <w:sz w:val="32"/>
          <w:szCs w:val="32"/>
        </w:rPr>
        <w:t>万元，上级补助收入</w:t>
      </w:r>
      <w:r>
        <w:rPr>
          <w:rFonts w:eastAsia="仿宋"/>
          <w:sz w:val="32"/>
          <w:szCs w:val="32"/>
        </w:rPr>
        <w:t xml:space="preserve"> 0.00 </w:t>
      </w:r>
      <w:r>
        <w:rPr>
          <w:rFonts w:hint="eastAsia" w:eastAsia="仿宋"/>
          <w:sz w:val="32"/>
          <w:szCs w:val="32"/>
        </w:rPr>
        <w:t>万元，事业收入</w:t>
      </w:r>
      <w:r>
        <w:rPr>
          <w:rFonts w:eastAsia="仿宋"/>
          <w:sz w:val="32"/>
          <w:szCs w:val="32"/>
        </w:rPr>
        <w:t xml:space="preserve"> 0.00 </w:t>
      </w:r>
      <w:r>
        <w:rPr>
          <w:rFonts w:hint="eastAsia" w:eastAsia="仿宋"/>
          <w:sz w:val="32"/>
          <w:szCs w:val="32"/>
        </w:rPr>
        <w:t>万元，其他收入</w:t>
      </w:r>
      <w:r>
        <w:rPr>
          <w:rFonts w:eastAsia="仿宋"/>
          <w:sz w:val="32"/>
          <w:szCs w:val="32"/>
        </w:rPr>
        <w:t xml:space="preserve">0.00 </w:t>
      </w:r>
      <w:r>
        <w:rPr>
          <w:rFonts w:hint="eastAsia" w:eastAsia="仿宋"/>
          <w:sz w:val="32"/>
          <w:szCs w:val="32"/>
        </w:rPr>
        <w:t>万元；</w:t>
      </w:r>
      <w:r>
        <w:rPr>
          <w:rFonts w:eastAsia="仿宋"/>
          <w:sz w:val="32"/>
          <w:szCs w:val="32"/>
        </w:rPr>
        <w:t>201</w:t>
      </w:r>
      <w:r>
        <w:rPr>
          <w:rFonts w:hint="eastAsia" w:eastAsia="仿宋"/>
          <w:sz w:val="32"/>
          <w:szCs w:val="32"/>
          <w:lang w:val="en-US" w:eastAsia="zh-CN"/>
        </w:rPr>
        <w:t>9</w:t>
      </w:r>
      <w:r>
        <w:rPr>
          <w:rFonts w:hint="eastAsia" w:eastAsia="仿宋"/>
          <w:sz w:val="32"/>
          <w:szCs w:val="32"/>
        </w:rPr>
        <w:t>年财政拨款收入</w:t>
      </w:r>
      <w:r>
        <w:rPr>
          <w:rFonts w:hint="eastAsia" w:eastAsia="仿宋"/>
          <w:sz w:val="32"/>
          <w:szCs w:val="32"/>
          <w:lang w:val="en-US" w:eastAsia="zh-CN"/>
        </w:rPr>
        <w:t>146.63</w:t>
      </w:r>
      <w:r>
        <w:rPr>
          <w:rFonts w:hint="eastAsia" w:eastAsia="仿宋"/>
          <w:sz w:val="32"/>
          <w:szCs w:val="32"/>
        </w:rPr>
        <w:t>万元：上级补助收入</w:t>
      </w:r>
      <w:r>
        <w:rPr>
          <w:rFonts w:eastAsia="仿宋"/>
          <w:sz w:val="32"/>
          <w:szCs w:val="32"/>
        </w:rPr>
        <w:t xml:space="preserve"> 0.00 </w:t>
      </w:r>
      <w:r>
        <w:rPr>
          <w:rFonts w:hint="eastAsia" w:eastAsia="仿宋"/>
          <w:sz w:val="32"/>
          <w:szCs w:val="32"/>
        </w:rPr>
        <w:t>万元，事业收入</w:t>
      </w:r>
      <w:r>
        <w:rPr>
          <w:rFonts w:eastAsia="仿宋"/>
          <w:sz w:val="32"/>
          <w:szCs w:val="32"/>
        </w:rPr>
        <w:t xml:space="preserve">0.00 </w:t>
      </w:r>
      <w:r>
        <w:rPr>
          <w:rFonts w:hint="eastAsia" w:eastAsia="仿宋"/>
          <w:sz w:val="32"/>
          <w:szCs w:val="32"/>
        </w:rPr>
        <w:t>万元，其他收入</w:t>
      </w:r>
      <w:r>
        <w:rPr>
          <w:rFonts w:eastAsia="仿宋"/>
          <w:sz w:val="32"/>
          <w:szCs w:val="32"/>
        </w:rPr>
        <w:t xml:space="preserve">0.00 </w:t>
      </w:r>
      <w:r>
        <w:rPr>
          <w:rFonts w:hint="eastAsia" w:eastAsia="仿宋"/>
          <w:sz w:val="32"/>
          <w:szCs w:val="32"/>
        </w:rPr>
        <w:t>万元</w:t>
      </w:r>
      <w:r>
        <w:rPr>
          <w:rFonts w:eastAsia="仿宋"/>
          <w:sz w:val="32"/>
          <w:szCs w:val="32"/>
        </w:rPr>
        <w:t xml:space="preserve"> </w:t>
      </w:r>
      <w:r>
        <w:rPr>
          <w:rFonts w:hint="eastAsia" w:eastAsia="仿宋"/>
          <w:sz w:val="32"/>
          <w:szCs w:val="32"/>
        </w:rPr>
        <w:t>；比上年</w:t>
      </w:r>
      <w:r>
        <w:rPr>
          <w:rFonts w:hint="eastAsia" w:eastAsia="仿宋"/>
          <w:sz w:val="32"/>
          <w:szCs w:val="32"/>
          <w:lang w:eastAsia="zh-CN"/>
        </w:rPr>
        <w:t>减少</w:t>
      </w:r>
      <w:r>
        <w:rPr>
          <w:rFonts w:hint="eastAsia" w:eastAsia="仿宋"/>
          <w:sz w:val="32"/>
          <w:szCs w:val="32"/>
          <w:lang w:val="en-US" w:eastAsia="zh-CN"/>
        </w:rPr>
        <w:t>8.4</w:t>
      </w:r>
      <w:r>
        <w:rPr>
          <w:rFonts w:hint="eastAsia" w:eastAsia="仿宋"/>
          <w:sz w:val="32"/>
          <w:szCs w:val="32"/>
          <w:lang w:eastAsia="zh-CN"/>
        </w:rPr>
        <w:t>%</w:t>
      </w:r>
      <w:r>
        <w:rPr>
          <w:rFonts w:hint="eastAsia" w:eastAsia="仿宋"/>
          <w:sz w:val="32"/>
          <w:szCs w:val="32"/>
        </w:rPr>
        <w:t>。</w:t>
      </w:r>
    </w:p>
    <w:p>
      <w:pPr>
        <w:ind w:firstLine="640" w:firstLineChars="200"/>
        <w:rPr>
          <w:rFonts w:hint="eastAsia" w:eastAsia="仿宋"/>
          <w:sz w:val="32"/>
          <w:szCs w:val="32"/>
          <w:lang w:val="en-US" w:eastAsia="zh-CN"/>
        </w:rPr>
      </w:pPr>
      <w:r>
        <w:rPr>
          <w:rFonts w:eastAsia="仿宋"/>
          <w:sz w:val="32"/>
          <w:szCs w:val="32"/>
        </w:rPr>
        <w:t>2</w:t>
      </w:r>
      <w:r>
        <w:rPr>
          <w:rFonts w:hint="eastAsia" w:eastAsia="仿宋"/>
          <w:sz w:val="32"/>
          <w:szCs w:val="32"/>
        </w:rPr>
        <w:t>、支出说明</w:t>
      </w:r>
    </w:p>
    <w:p>
      <w:pPr>
        <w:ind w:firstLine="630"/>
        <w:rPr>
          <w:rFonts w:eastAsia="仿宋"/>
          <w:sz w:val="32"/>
          <w:szCs w:val="32"/>
        </w:rPr>
      </w:pPr>
      <w:r>
        <w:rPr>
          <w:rFonts w:eastAsia="仿宋"/>
          <w:sz w:val="32"/>
          <w:szCs w:val="32"/>
        </w:rPr>
        <w:t>201</w:t>
      </w:r>
      <w:r>
        <w:rPr>
          <w:rFonts w:hint="eastAsia" w:eastAsia="仿宋"/>
          <w:sz w:val="32"/>
          <w:szCs w:val="32"/>
          <w:lang w:val="en-US" w:eastAsia="zh-CN"/>
        </w:rPr>
        <w:t>8</w:t>
      </w:r>
      <w:r>
        <w:rPr>
          <w:rFonts w:hint="eastAsia" w:eastAsia="仿宋"/>
          <w:sz w:val="32"/>
          <w:szCs w:val="32"/>
        </w:rPr>
        <w:t>年度支出合计</w:t>
      </w:r>
      <w:r>
        <w:rPr>
          <w:rFonts w:eastAsia="仿宋"/>
          <w:sz w:val="32"/>
          <w:szCs w:val="32"/>
        </w:rPr>
        <w:t xml:space="preserve"> </w:t>
      </w:r>
      <w:r>
        <w:rPr>
          <w:rFonts w:hint="eastAsia" w:eastAsia="仿宋"/>
          <w:sz w:val="32"/>
          <w:szCs w:val="32"/>
          <w:lang w:val="en-US" w:eastAsia="zh-CN"/>
        </w:rPr>
        <w:t>160.06</w:t>
      </w:r>
      <w:r>
        <w:rPr>
          <w:rFonts w:hint="eastAsia" w:eastAsia="仿宋"/>
          <w:sz w:val="32"/>
          <w:szCs w:val="32"/>
        </w:rPr>
        <w:t>万元，其中：基本支出</w:t>
      </w:r>
      <w:r>
        <w:rPr>
          <w:rFonts w:eastAsia="仿宋"/>
          <w:sz w:val="32"/>
          <w:szCs w:val="32"/>
        </w:rPr>
        <w:t>1</w:t>
      </w:r>
      <w:r>
        <w:rPr>
          <w:rFonts w:hint="eastAsia" w:eastAsia="仿宋"/>
          <w:sz w:val="32"/>
          <w:szCs w:val="32"/>
          <w:lang w:val="en-US" w:eastAsia="zh-CN"/>
        </w:rPr>
        <w:t>43.86</w:t>
      </w:r>
      <w:r>
        <w:rPr>
          <w:rFonts w:eastAsia="仿宋"/>
          <w:sz w:val="32"/>
          <w:szCs w:val="32"/>
        </w:rPr>
        <w:t xml:space="preserve"> </w:t>
      </w:r>
      <w:r>
        <w:rPr>
          <w:rFonts w:hint="eastAsia" w:eastAsia="仿宋"/>
          <w:sz w:val="32"/>
          <w:szCs w:val="32"/>
        </w:rPr>
        <w:t>万元，项目支出</w:t>
      </w:r>
      <w:r>
        <w:rPr>
          <w:rFonts w:hint="eastAsia" w:eastAsia="仿宋"/>
          <w:sz w:val="32"/>
          <w:szCs w:val="32"/>
          <w:lang w:val="en-US" w:eastAsia="zh-CN"/>
        </w:rPr>
        <w:t>16.2</w:t>
      </w:r>
      <w:r>
        <w:rPr>
          <w:rFonts w:hint="eastAsia" w:eastAsia="仿宋"/>
          <w:sz w:val="32"/>
          <w:szCs w:val="32"/>
        </w:rPr>
        <w:t>万元，上缴上级支出</w:t>
      </w:r>
      <w:r>
        <w:rPr>
          <w:rFonts w:eastAsia="仿宋"/>
          <w:sz w:val="32"/>
          <w:szCs w:val="32"/>
        </w:rPr>
        <w:t xml:space="preserve"> 0.00</w:t>
      </w:r>
      <w:r>
        <w:rPr>
          <w:rFonts w:hint="eastAsia" w:eastAsia="仿宋"/>
          <w:sz w:val="32"/>
          <w:szCs w:val="32"/>
        </w:rPr>
        <w:t>万元，对附属单位补助支出</w:t>
      </w:r>
      <w:r>
        <w:rPr>
          <w:rFonts w:eastAsia="仿宋"/>
          <w:sz w:val="32"/>
          <w:szCs w:val="32"/>
        </w:rPr>
        <w:t>0.00</w:t>
      </w:r>
      <w:r>
        <w:rPr>
          <w:rFonts w:hint="eastAsia" w:eastAsia="仿宋"/>
          <w:sz w:val="32"/>
          <w:szCs w:val="32"/>
        </w:rPr>
        <w:t>万元；</w:t>
      </w:r>
      <w:r>
        <w:rPr>
          <w:rFonts w:eastAsia="仿宋"/>
          <w:sz w:val="32"/>
          <w:szCs w:val="32"/>
        </w:rPr>
        <w:t>201</w:t>
      </w:r>
      <w:r>
        <w:rPr>
          <w:rFonts w:hint="eastAsia" w:eastAsia="仿宋"/>
          <w:sz w:val="32"/>
          <w:szCs w:val="32"/>
          <w:lang w:val="en-US" w:eastAsia="zh-CN"/>
        </w:rPr>
        <w:t>9</w:t>
      </w:r>
      <w:r>
        <w:rPr>
          <w:rFonts w:hint="eastAsia" w:eastAsia="仿宋"/>
          <w:sz w:val="32"/>
          <w:szCs w:val="32"/>
        </w:rPr>
        <w:t>年支出合计</w:t>
      </w:r>
      <w:r>
        <w:rPr>
          <w:rFonts w:eastAsia="仿宋"/>
          <w:sz w:val="32"/>
          <w:szCs w:val="32"/>
        </w:rPr>
        <w:t xml:space="preserve"> </w:t>
      </w:r>
      <w:r>
        <w:rPr>
          <w:rFonts w:hint="eastAsia" w:eastAsia="仿宋"/>
          <w:sz w:val="32"/>
          <w:szCs w:val="32"/>
          <w:lang w:val="en-US" w:eastAsia="zh-CN"/>
        </w:rPr>
        <w:t>146.63</w:t>
      </w:r>
      <w:r>
        <w:rPr>
          <w:rFonts w:hint="eastAsia" w:eastAsia="仿宋"/>
          <w:sz w:val="32"/>
          <w:szCs w:val="32"/>
        </w:rPr>
        <w:t>万</w:t>
      </w:r>
      <w:r>
        <w:rPr>
          <w:rFonts w:eastAsia="仿宋"/>
          <w:sz w:val="32"/>
          <w:szCs w:val="32"/>
        </w:rPr>
        <w:t xml:space="preserve"> </w:t>
      </w:r>
      <w:r>
        <w:rPr>
          <w:rFonts w:hint="eastAsia" w:eastAsia="仿宋"/>
          <w:sz w:val="32"/>
          <w:szCs w:val="32"/>
        </w:rPr>
        <w:t>元，其中：基本支出</w:t>
      </w:r>
      <w:r>
        <w:rPr>
          <w:rFonts w:hint="eastAsia" w:eastAsia="仿宋"/>
          <w:sz w:val="32"/>
          <w:szCs w:val="32"/>
          <w:lang w:val="en-US" w:eastAsia="zh-CN"/>
        </w:rPr>
        <w:t>139.63</w:t>
      </w:r>
      <w:r>
        <w:rPr>
          <w:rFonts w:hint="eastAsia" w:eastAsia="仿宋"/>
          <w:sz w:val="32"/>
          <w:szCs w:val="32"/>
        </w:rPr>
        <w:t>万元，项目支出</w:t>
      </w:r>
      <w:r>
        <w:rPr>
          <w:rFonts w:eastAsia="仿宋"/>
          <w:sz w:val="32"/>
          <w:szCs w:val="32"/>
        </w:rPr>
        <w:t xml:space="preserve"> </w:t>
      </w:r>
      <w:r>
        <w:rPr>
          <w:rFonts w:hint="eastAsia" w:eastAsia="仿宋"/>
          <w:sz w:val="32"/>
          <w:szCs w:val="32"/>
          <w:lang w:val="en-US" w:eastAsia="zh-CN"/>
        </w:rPr>
        <w:t>7</w:t>
      </w:r>
      <w:r>
        <w:rPr>
          <w:rFonts w:hint="eastAsia" w:eastAsia="仿宋"/>
          <w:sz w:val="32"/>
          <w:szCs w:val="32"/>
        </w:rPr>
        <w:t>万元，上缴上级支出</w:t>
      </w:r>
      <w:r>
        <w:rPr>
          <w:rFonts w:eastAsia="仿宋"/>
          <w:sz w:val="32"/>
          <w:szCs w:val="32"/>
        </w:rPr>
        <w:t>0.00</w:t>
      </w:r>
      <w:r>
        <w:rPr>
          <w:rFonts w:hint="eastAsia" w:eastAsia="仿宋"/>
          <w:sz w:val="32"/>
          <w:szCs w:val="32"/>
        </w:rPr>
        <w:t>万元，比上年</w:t>
      </w:r>
      <w:r>
        <w:rPr>
          <w:rFonts w:hint="eastAsia" w:eastAsia="仿宋"/>
          <w:sz w:val="32"/>
          <w:szCs w:val="32"/>
          <w:lang w:eastAsia="zh-CN"/>
        </w:rPr>
        <w:t>减少</w:t>
      </w:r>
      <w:r>
        <w:rPr>
          <w:rFonts w:hint="eastAsia" w:eastAsia="仿宋"/>
          <w:sz w:val="32"/>
          <w:szCs w:val="32"/>
          <w:lang w:val="en-US" w:eastAsia="zh-CN"/>
        </w:rPr>
        <w:t>8.4</w:t>
      </w:r>
      <w:r>
        <w:rPr>
          <w:rFonts w:hint="eastAsia" w:eastAsia="仿宋"/>
          <w:sz w:val="32"/>
          <w:szCs w:val="32"/>
        </w:rPr>
        <w:t>%。</w:t>
      </w:r>
    </w:p>
    <w:p>
      <w:pPr>
        <w:numPr>
          <w:ilvl w:val="0"/>
          <w:numId w:val="0"/>
        </w:numPr>
        <w:ind w:firstLine="640" w:firstLineChars="200"/>
        <w:rPr>
          <w:rFonts w:hint="eastAsia" w:eastAsia="仿宋"/>
          <w:sz w:val="32"/>
          <w:szCs w:val="32"/>
        </w:rPr>
      </w:pPr>
      <w:r>
        <w:rPr>
          <w:rFonts w:hint="eastAsia" w:eastAsia="仿宋"/>
          <w:sz w:val="32"/>
          <w:szCs w:val="32"/>
          <w:lang w:val="en-US" w:eastAsia="zh-CN"/>
        </w:rPr>
        <w:t>3、</w:t>
      </w:r>
      <w:r>
        <w:rPr>
          <w:rFonts w:hint="eastAsia" w:eastAsia="仿宋"/>
          <w:sz w:val="32"/>
          <w:szCs w:val="32"/>
        </w:rPr>
        <w:t>比上年增减情况</w:t>
      </w:r>
    </w:p>
    <w:p>
      <w:pPr>
        <w:numPr>
          <w:ilvl w:val="0"/>
          <w:numId w:val="0"/>
        </w:numPr>
        <w:ind w:firstLine="640" w:firstLineChars="200"/>
        <w:rPr>
          <w:rFonts w:eastAsia="仿宋"/>
          <w:sz w:val="32"/>
          <w:szCs w:val="32"/>
        </w:rPr>
      </w:pPr>
      <w:r>
        <w:rPr>
          <w:rFonts w:eastAsia="仿宋"/>
          <w:color w:val="FF0000"/>
          <w:sz w:val="32"/>
          <w:szCs w:val="32"/>
        </w:rPr>
        <w:t>201</w:t>
      </w:r>
      <w:r>
        <w:rPr>
          <w:rFonts w:hint="eastAsia" w:eastAsia="仿宋"/>
          <w:color w:val="FF0000"/>
          <w:sz w:val="32"/>
          <w:szCs w:val="32"/>
          <w:lang w:val="en-US" w:eastAsia="zh-CN"/>
        </w:rPr>
        <w:t>9</w:t>
      </w:r>
      <w:r>
        <w:rPr>
          <w:rFonts w:hint="eastAsia" w:eastAsia="仿宋"/>
          <w:color w:val="FF0000"/>
          <w:sz w:val="32"/>
          <w:szCs w:val="32"/>
        </w:rPr>
        <w:t>年，部门预算收支安排</w:t>
      </w:r>
      <w:r>
        <w:rPr>
          <w:rFonts w:hint="eastAsia" w:eastAsia="仿宋"/>
          <w:color w:val="FF0000"/>
          <w:sz w:val="32"/>
          <w:szCs w:val="32"/>
          <w:lang w:val="en-US" w:eastAsia="zh-CN"/>
        </w:rPr>
        <w:t>146.63</w:t>
      </w:r>
      <w:r>
        <w:rPr>
          <w:rFonts w:hint="eastAsia" w:eastAsia="仿宋"/>
          <w:color w:val="FF0000"/>
          <w:sz w:val="32"/>
          <w:szCs w:val="32"/>
        </w:rPr>
        <w:t>万元，</w:t>
      </w:r>
      <w:r>
        <w:rPr>
          <w:rFonts w:hint="eastAsia" w:eastAsia="仿宋"/>
          <w:sz w:val="32"/>
          <w:szCs w:val="32"/>
        </w:rPr>
        <w:t>较</w:t>
      </w:r>
      <w:r>
        <w:rPr>
          <w:rFonts w:eastAsia="仿宋"/>
          <w:sz w:val="32"/>
          <w:szCs w:val="32"/>
        </w:rPr>
        <w:t>201</w:t>
      </w:r>
      <w:r>
        <w:rPr>
          <w:rFonts w:hint="eastAsia" w:eastAsia="仿宋"/>
          <w:sz w:val="32"/>
          <w:szCs w:val="32"/>
          <w:lang w:val="en-US" w:eastAsia="zh-CN"/>
        </w:rPr>
        <w:t>8</w:t>
      </w:r>
      <w:r>
        <w:rPr>
          <w:rFonts w:hint="eastAsia" w:eastAsia="仿宋"/>
          <w:sz w:val="32"/>
          <w:szCs w:val="32"/>
        </w:rPr>
        <w:t>年</w:t>
      </w:r>
      <w:r>
        <w:rPr>
          <w:rFonts w:hint="eastAsia" w:eastAsia="仿宋"/>
          <w:sz w:val="32"/>
          <w:szCs w:val="32"/>
          <w:lang w:eastAsia="zh-CN"/>
        </w:rPr>
        <w:t>减少</w:t>
      </w:r>
      <w:r>
        <w:rPr>
          <w:rFonts w:hint="eastAsia" w:eastAsia="仿宋"/>
          <w:sz w:val="32"/>
          <w:szCs w:val="32"/>
          <w:lang w:val="en-US" w:eastAsia="zh-CN"/>
        </w:rPr>
        <w:t>13.43</w:t>
      </w:r>
      <w:r>
        <w:rPr>
          <w:rFonts w:hint="eastAsia" w:eastAsia="仿宋"/>
          <w:sz w:val="32"/>
          <w:szCs w:val="32"/>
        </w:rPr>
        <w:t>万元。其中：</w:t>
      </w:r>
      <w:r>
        <w:rPr>
          <w:rFonts w:hint="eastAsia" w:eastAsia="仿宋"/>
          <w:sz w:val="32"/>
          <w:szCs w:val="32"/>
          <w:lang w:eastAsia="zh-CN"/>
        </w:rPr>
        <w:t>有一名职工退休，人员经费减少</w:t>
      </w:r>
      <w:r>
        <w:rPr>
          <w:rFonts w:hint="eastAsia" w:eastAsia="仿宋"/>
          <w:sz w:val="32"/>
          <w:szCs w:val="32"/>
        </w:rPr>
        <w:t>。</w:t>
      </w:r>
    </w:p>
    <w:p>
      <w:pPr>
        <w:numPr>
          <w:ilvl w:val="0"/>
          <w:numId w:val="0"/>
        </w:numPr>
        <w:ind w:firstLine="640" w:firstLineChars="200"/>
        <w:rPr>
          <w:rFonts w:hint="eastAsia" w:eastAsia="仿宋"/>
          <w:sz w:val="32"/>
          <w:szCs w:val="32"/>
          <w:lang w:eastAsia="zh-CN"/>
        </w:rPr>
      </w:pPr>
      <w:r>
        <w:rPr>
          <w:rFonts w:hint="eastAsia" w:eastAsia="仿宋"/>
          <w:sz w:val="32"/>
          <w:szCs w:val="32"/>
          <w:lang w:eastAsia="zh-CN"/>
        </w:rPr>
        <w:t>三、机关运行经费安排情况</w:t>
      </w:r>
    </w:p>
    <w:p>
      <w:pPr>
        <w:numPr>
          <w:ilvl w:val="0"/>
          <w:numId w:val="0"/>
        </w:numPr>
        <w:ind w:firstLine="640" w:firstLineChars="200"/>
        <w:rPr>
          <w:rFonts w:hint="eastAsia" w:eastAsia="仿宋"/>
          <w:sz w:val="32"/>
          <w:szCs w:val="32"/>
          <w:lang w:eastAsia="zh-CN"/>
        </w:rPr>
      </w:pPr>
      <w:r>
        <w:rPr>
          <w:rFonts w:hint="eastAsia" w:eastAsia="仿宋"/>
          <w:sz w:val="32"/>
          <w:szCs w:val="32"/>
          <w:lang w:eastAsia="zh-CN"/>
        </w:rPr>
        <w:t>机关运行经费预算安排3万元。主要用于办公经费2万元，差旅费0.</w:t>
      </w:r>
      <w:r>
        <w:rPr>
          <w:rFonts w:hint="eastAsia" w:eastAsia="仿宋"/>
          <w:sz w:val="32"/>
          <w:szCs w:val="32"/>
          <w:lang w:val="en-US" w:eastAsia="zh-CN"/>
        </w:rPr>
        <w:t>6</w:t>
      </w:r>
      <w:r>
        <w:rPr>
          <w:rFonts w:hint="eastAsia" w:eastAsia="仿宋"/>
          <w:sz w:val="32"/>
          <w:szCs w:val="32"/>
          <w:lang w:eastAsia="zh-CN"/>
        </w:rPr>
        <w:t>万元，福利费0.</w:t>
      </w:r>
      <w:r>
        <w:rPr>
          <w:rFonts w:hint="eastAsia" w:eastAsia="仿宋"/>
          <w:sz w:val="32"/>
          <w:szCs w:val="32"/>
          <w:lang w:val="en-US" w:eastAsia="zh-CN"/>
        </w:rPr>
        <w:t>3</w:t>
      </w:r>
      <w:r>
        <w:rPr>
          <w:rFonts w:hint="eastAsia" w:eastAsia="仿宋"/>
          <w:sz w:val="32"/>
          <w:szCs w:val="32"/>
          <w:lang w:eastAsia="zh-CN"/>
        </w:rPr>
        <w:t>万元，公务接待费</w:t>
      </w:r>
      <w:r>
        <w:rPr>
          <w:rFonts w:hint="eastAsia" w:eastAsia="仿宋"/>
          <w:sz w:val="32"/>
          <w:szCs w:val="32"/>
          <w:lang w:val="en-US" w:eastAsia="zh-CN"/>
        </w:rPr>
        <w:t>0.1万元</w:t>
      </w:r>
      <w:r>
        <w:rPr>
          <w:rFonts w:hint="eastAsia" w:eastAsia="仿宋"/>
          <w:sz w:val="32"/>
          <w:szCs w:val="32"/>
          <w:lang w:eastAsia="zh-CN"/>
        </w:rPr>
        <w:t>。</w:t>
      </w:r>
    </w:p>
    <w:p>
      <w:pPr>
        <w:numPr>
          <w:ilvl w:val="0"/>
          <w:numId w:val="0"/>
        </w:numPr>
        <w:ind w:firstLine="640" w:firstLineChars="200"/>
        <w:rPr>
          <w:rFonts w:hint="eastAsia" w:eastAsia="仿宋"/>
          <w:sz w:val="32"/>
          <w:szCs w:val="32"/>
          <w:lang w:eastAsia="zh-CN"/>
        </w:rPr>
      </w:pPr>
      <w:r>
        <w:rPr>
          <w:rFonts w:hint="eastAsia" w:eastAsia="仿宋"/>
          <w:sz w:val="32"/>
          <w:szCs w:val="32"/>
          <w:lang w:eastAsia="zh-CN"/>
        </w:rPr>
        <w:t>四、三公经费预算情况说明</w:t>
      </w:r>
    </w:p>
    <w:p>
      <w:pPr>
        <w:numPr>
          <w:ilvl w:val="0"/>
          <w:numId w:val="0"/>
        </w:numPr>
        <w:ind w:firstLine="640" w:firstLineChars="200"/>
        <w:rPr>
          <w:rFonts w:hint="eastAsia" w:eastAsia="仿宋"/>
          <w:sz w:val="32"/>
          <w:szCs w:val="32"/>
          <w:lang w:eastAsia="zh-CN"/>
        </w:rPr>
      </w:pPr>
      <w:r>
        <w:rPr>
          <w:rFonts w:hint="eastAsia" w:eastAsia="仿宋"/>
          <w:sz w:val="32"/>
          <w:szCs w:val="32"/>
          <w:lang w:eastAsia="zh-CN"/>
        </w:rPr>
        <w:t>201</w:t>
      </w:r>
      <w:r>
        <w:rPr>
          <w:rFonts w:hint="eastAsia" w:eastAsia="仿宋"/>
          <w:sz w:val="32"/>
          <w:szCs w:val="32"/>
          <w:lang w:val="en-US" w:eastAsia="zh-CN"/>
        </w:rPr>
        <w:t>9</w:t>
      </w:r>
      <w:r>
        <w:rPr>
          <w:rFonts w:hint="eastAsia" w:eastAsia="仿宋"/>
          <w:sz w:val="32"/>
          <w:szCs w:val="32"/>
          <w:lang w:eastAsia="zh-CN"/>
        </w:rPr>
        <w:t>年中共双桥区委党校“三公”经费公共预算财政拨款决算支出0.0 万元，比上年减少 0.048  万元，同比下降100%。具体支出情况如下：（一）公务用车购置及运行维护费支出 0 .00 万元，同比减少0.00 万元，同比下降或增长0%。①公务用车购置支出 0.00 万元，同比下降或增长0 %。②公务用车运行维护费支出 0.00 万元，同比下降或增长0%。（二）公务接待费支出 0.00 万元，同比下降100%。（三）因公出国（境）费支出 0.00 万元，同比下降或增长0%。我单位三公经费变动主要原因分别是：压缩成本，节约开支。</w:t>
      </w:r>
    </w:p>
    <w:p>
      <w:pPr>
        <w:numPr>
          <w:ilvl w:val="0"/>
          <w:numId w:val="0"/>
        </w:numPr>
        <w:ind w:firstLine="640" w:firstLineChars="200"/>
        <w:rPr>
          <w:rFonts w:hint="eastAsia" w:eastAsia="仿宋"/>
          <w:sz w:val="32"/>
          <w:szCs w:val="32"/>
          <w:lang w:eastAsia="zh-CN"/>
        </w:rPr>
      </w:pPr>
      <w:r>
        <w:rPr>
          <w:rFonts w:hint="eastAsia" w:eastAsia="仿宋"/>
          <w:sz w:val="32"/>
          <w:szCs w:val="32"/>
          <w:lang w:eastAsia="zh-CN"/>
        </w:rPr>
        <w:t>因公出国（境）情况:本年度组织因公出国（境）团 0 人次，参加其他单位组织的因公出国（境）团组 0 人次。</w:t>
      </w:r>
    </w:p>
    <w:p>
      <w:pPr>
        <w:numPr>
          <w:ilvl w:val="0"/>
          <w:numId w:val="0"/>
        </w:numPr>
        <w:ind w:firstLine="640" w:firstLineChars="200"/>
        <w:rPr>
          <w:rFonts w:ascii="??_GB2312" w:eastAsia="Times New Roman"/>
          <w:sz w:val="32"/>
          <w:szCs w:val="32"/>
        </w:rPr>
      </w:pPr>
      <w:r>
        <w:rPr>
          <w:rFonts w:hint="eastAsia" w:eastAsia="仿宋"/>
          <w:sz w:val="32"/>
          <w:szCs w:val="32"/>
          <w:lang w:eastAsia="zh-CN"/>
        </w:rPr>
        <w:t>公务车辆购置及保有情况:本年购置公务用车 0 辆，年末公务用车保有量 0 辆。</w:t>
      </w:r>
    </w:p>
    <w:p>
      <w:pPr>
        <w:ind w:firstLine="630"/>
        <w:rPr>
          <w:rFonts w:ascii="宋体" w:cs="宋体"/>
          <w:b/>
          <w:sz w:val="32"/>
          <w:szCs w:val="32"/>
        </w:rPr>
      </w:pPr>
      <w:r>
        <w:rPr>
          <w:rFonts w:hint="eastAsia" w:ascii="宋体" w:hAnsi="宋体" w:cs="宋体"/>
          <w:b/>
          <w:sz w:val="32"/>
          <w:szCs w:val="32"/>
        </w:rPr>
        <w:t>五、绩效预算信息</w:t>
      </w:r>
    </w:p>
    <w:p>
      <w:pPr>
        <w:autoSpaceDE w:val="0"/>
        <w:autoSpaceDN w:val="0"/>
        <w:adjustRightInd w:val="0"/>
        <w:ind w:left="198" w:firstLine="643" w:firstLineChars="200"/>
        <w:jc w:val="left"/>
        <w:rPr>
          <w:rFonts w:eastAsia="仿宋"/>
          <w:b/>
          <w:sz w:val="32"/>
          <w:szCs w:val="32"/>
        </w:rPr>
      </w:pPr>
      <w:r>
        <w:rPr>
          <w:rFonts w:hint="eastAsia" w:eastAsia="仿宋"/>
          <w:b/>
          <w:sz w:val="32"/>
          <w:szCs w:val="32"/>
        </w:rPr>
        <w:t>总体绩效目标：</w:t>
      </w:r>
    </w:p>
    <w:p>
      <w:pPr>
        <w:autoSpaceDE w:val="0"/>
        <w:autoSpaceDN w:val="0"/>
        <w:adjustRightInd w:val="0"/>
        <w:ind w:left="198" w:firstLine="640" w:firstLineChars="200"/>
        <w:jc w:val="left"/>
        <w:rPr>
          <w:rFonts w:hint="eastAsia" w:eastAsia="仿宋"/>
          <w:sz w:val="32"/>
          <w:szCs w:val="32"/>
          <w:lang w:val="en-US" w:eastAsia="zh-CN"/>
        </w:rPr>
      </w:pPr>
      <w:r>
        <w:rPr>
          <w:rFonts w:hint="eastAsia" w:eastAsia="仿宋"/>
          <w:sz w:val="32"/>
          <w:szCs w:val="32"/>
        </w:rPr>
        <w:t>负责全区党员、干部及科级领导干部理论培训工作。不断完善绩效目标管理体系，逐步形成既有自身特色，又基本符合党校办学特点的绩效管理系统，推动党校各项事业跨步发展，党校科学办学良好态势得到进一步巩固</w:t>
      </w:r>
      <w:r>
        <w:rPr>
          <w:rFonts w:hint="eastAsia" w:eastAsia="仿宋"/>
          <w:sz w:val="32"/>
          <w:szCs w:val="32"/>
          <w:lang w:val="en-US" w:eastAsia="zh-CN"/>
        </w:rPr>
        <w:t>。</w:t>
      </w:r>
    </w:p>
    <w:p>
      <w:pPr>
        <w:autoSpaceDE w:val="0"/>
        <w:autoSpaceDN w:val="0"/>
        <w:adjustRightInd w:val="0"/>
        <w:ind w:left="198" w:firstLine="643" w:firstLineChars="200"/>
        <w:jc w:val="left"/>
        <w:rPr>
          <w:rFonts w:eastAsia="仿宋"/>
          <w:b/>
          <w:sz w:val="32"/>
          <w:szCs w:val="32"/>
        </w:rPr>
      </w:pPr>
      <w:r>
        <w:rPr>
          <w:rFonts w:hint="eastAsia" w:eastAsia="仿宋"/>
          <w:b/>
          <w:sz w:val="32"/>
          <w:szCs w:val="32"/>
        </w:rPr>
        <w:t>职责分类绩效目标：</w:t>
      </w:r>
    </w:p>
    <w:p>
      <w:pPr>
        <w:ind w:firstLine="640" w:firstLineChars="200"/>
        <w:rPr>
          <w:rFonts w:eastAsia="仿宋"/>
          <w:sz w:val="32"/>
          <w:szCs w:val="32"/>
        </w:rPr>
      </w:pPr>
      <w:r>
        <w:rPr>
          <w:rFonts w:hint="eastAsia" w:eastAsia="仿宋"/>
          <w:sz w:val="32"/>
          <w:szCs w:val="32"/>
        </w:rPr>
        <w:t>贯彻执行党的路线、方针、政策和国家的法律、法规</w:t>
      </w:r>
      <w:r>
        <w:rPr>
          <w:rFonts w:eastAsia="仿宋"/>
          <w:sz w:val="32"/>
          <w:szCs w:val="32"/>
        </w:rPr>
        <w:t>;</w:t>
      </w:r>
      <w:r>
        <w:rPr>
          <w:rFonts w:hint="eastAsia" w:eastAsia="仿宋"/>
          <w:sz w:val="32"/>
          <w:szCs w:val="32"/>
        </w:rPr>
        <w:t>培养高等专科学历人才，促进科技文化发展；负责理论学习研究、学术交流研讨等；协同纪检委、组织部、宣传部、人事局、人武部和群团共同研究制定全区干部教育培训计划；实行目标牵动，促进全区干部教育培训工作的有效完成；着眼全区两个文明建设中的若干重大现实问题，与时俱进地进行理论研究和创新。</w:t>
      </w:r>
    </w:p>
    <w:p>
      <w:pPr>
        <w:ind w:firstLine="630"/>
        <w:rPr>
          <w:rFonts w:ascii="宋体" w:cs="宋体"/>
          <w:b/>
          <w:sz w:val="32"/>
          <w:szCs w:val="32"/>
        </w:rPr>
      </w:pPr>
    </w:p>
    <w:p>
      <w:pPr>
        <w:ind w:firstLine="4480" w:firstLineChars="1400"/>
        <w:outlineLvl w:val="0"/>
        <w:rPr>
          <w:rFonts w:ascii="方正小标宋_GBK" w:eastAsia="方正小标宋_GBK"/>
          <w:sz w:val="32"/>
        </w:rPr>
      </w:pPr>
      <w:bookmarkStart w:id="0" w:name="_Toc503971524"/>
      <w:r>
        <w:rPr>
          <w:rFonts w:hint="eastAsia" w:ascii="方正小标宋_GBK" w:eastAsia="方正小标宋_GBK"/>
          <w:sz w:val="32"/>
        </w:rPr>
        <w:t>部门职责</w:t>
      </w:r>
      <w:r>
        <w:rPr>
          <w:rFonts w:ascii="方正小标宋_GBK" w:eastAsia="方正小标宋_GBK"/>
          <w:sz w:val="32"/>
        </w:rPr>
        <w:t>-</w:t>
      </w:r>
      <w:r>
        <w:rPr>
          <w:rFonts w:hint="eastAsia" w:ascii="方正小标宋_GBK" w:eastAsia="方正小标宋_GBK"/>
          <w:sz w:val="32"/>
        </w:rPr>
        <w:t>工作活动绩效目标</w:t>
      </w:r>
      <w:bookmarkEnd w:id="0"/>
    </w:p>
    <w:tbl>
      <w:tblPr>
        <w:tblStyle w:val="6"/>
        <w:tblW w:w="1397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6"/>
        <w:gridCol w:w="1271"/>
        <w:gridCol w:w="2976"/>
        <w:gridCol w:w="2976"/>
        <w:gridCol w:w="1417"/>
        <w:gridCol w:w="737"/>
        <w:gridCol w:w="737"/>
        <w:gridCol w:w="737"/>
        <w:gridCol w:w="7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281</w:t>
            </w:r>
            <w:r>
              <w:rPr>
                <w:rFonts w:hint="eastAsia" w:ascii="方正小标宋_GBK" w:eastAsia="方正小标宋_GBK"/>
                <w:sz w:val="24"/>
              </w:rPr>
              <w:t>中共双桥区委党校</w:t>
            </w:r>
          </w:p>
        </w:tc>
        <w:tc>
          <w:tcPr>
            <w:tcW w:w="2993"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6"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1"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93"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6" w:type="dxa"/>
            <w:vMerge w:val="continue"/>
            <w:vAlign w:val="center"/>
          </w:tcPr>
          <w:p>
            <w:pPr>
              <w:spacing w:line="300" w:lineRule="exact"/>
              <w:jc w:val="left"/>
              <w:outlineLvl w:val="0"/>
            </w:pPr>
          </w:p>
        </w:tc>
        <w:tc>
          <w:tcPr>
            <w:tcW w:w="1271"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82"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6" w:type="dxa"/>
            <w:vMerge w:val="restart"/>
            <w:vAlign w:val="center"/>
          </w:tcPr>
          <w:p>
            <w:pPr>
              <w:spacing w:line="300" w:lineRule="exact"/>
              <w:jc w:val="left"/>
              <w:rPr>
                <w:rFonts w:ascii="方正书宋_GBK" w:eastAsia="方正书宋_GBK"/>
                <w:b/>
              </w:rPr>
            </w:pPr>
            <w:r>
              <w:rPr>
                <w:rFonts w:hint="eastAsia" w:ascii="方正书宋_GBK" w:eastAsia="方正书宋_GBK"/>
                <w:b/>
              </w:rPr>
              <w:t>一、组织培训班</w:t>
            </w:r>
          </w:p>
        </w:tc>
        <w:tc>
          <w:tcPr>
            <w:tcW w:w="1271" w:type="dxa"/>
            <w:vMerge w:val="restart"/>
            <w:vAlign w:val="center"/>
          </w:tcPr>
          <w:p>
            <w:pPr>
              <w:spacing w:line="300" w:lineRule="exact"/>
              <w:jc w:val="left"/>
              <w:rPr>
                <w:rFonts w:ascii="方正书宋_GBK" w:eastAsia="方正书宋_GBK"/>
              </w:rPr>
            </w:pPr>
            <w:r>
              <w:rPr>
                <w:rFonts w:ascii="方正书宋_GBK" w:eastAsia="方正书宋_GBK"/>
              </w:rPr>
              <w:t>7</w:t>
            </w:r>
          </w:p>
        </w:tc>
        <w:tc>
          <w:tcPr>
            <w:tcW w:w="2976" w:type="dxa"/>
            <w:vMerge w:val="restart"/>
            <w:vAlign w:val="center"/>
          </w:tcPr>
          <w:p>
            <w:pPr>
              <w:spacing w:line="300" w:lineRule="exact"/>
              <w:jc w:val="left"/>
              <w:rPr>
                <w:rFonts w:ascii="方正书宋_GBK" w:eastAsia="方正书宋_GBK"/>
              </w:rPr>
            </w:pPr>
            <w:r>
              <w:rPr>
                <w:rFonts w:hint="eastAsia" w:ascii="宋体" w:hAnsi="宋体" w:cs="宋体"/>
                <w:kern w:val="0"/>
                <w:sz w:val="18"/>
                <w:szCs w:val="18"/>
              </w:rPr>
              <w:t>根据、区委组织部的干训计划，培训、轮训领导干部、理论骨干和基层两委班子；受区委、区政府及有关职能部门委托，结合发展实际，举办各种专题培训、研讨班、和教育培训班</w:t>
            </w:r>
            <w:r>
              <w:rPr>
                <w:rFonts w:hint="eastAsia" w:ascii="方正书宋_GBK" w:eastAsia="方正书宋_GBK"/>
              </w:rPr>
              <w:t>。</w:t>
            </w:r>
          </w:p>
        </w:tc>
        <w:tc>
          <w:tcPr>
            <w:tcW w:w="2976" w:type="dxa"/>
            <w:vMerge w:val="restart"/>
            <w:vAlign w:val="center"/>
          </w:tcPr>
          <w:p>
            <w:pPr>
              <w:spacing w:line="300" w:lineRule="exact"/>
              <w:jc w:val="left"/>
              <w:rPr>
                <w:rFonts w:ascii="方正书宋_GBK" w:eastAsia="方正书宋_GBK"/>
              </w:rPr>
            </w:pPr>
            <w:r>
              <w:rPr>
                <w:rFonts w:hint="eastAsia" w:ascii="宋体" w:hAnsi="宋体" w:cs="宋体"/>
                <w:kern w:val="0"/>
                <w:sz w:val="18"/>
                <w:szCs w:val="18"/>
              </w:rPr>
              <w:t>通过外请专家学者授课，开拓学员思路；通过现场教学、情景教学、案例教学，有效提高培训质量，提高学员解决实际问题的能力。</w:t>
            </w:r>
          </w:p>
        </w:tc>
        <w:tc>
          <w:tcPr>
            <w:tcW w:w="1417" w:type="dxa"/>
            <w:vAlign w:val="center"/>
          </w:tcPr>
          <w:p>
            <w:pPr>
              <w:spacing w:line="300" w:lineRule="exact"/>
              <w:jc w:val="left"/>
              <w:rPr>
                <w:rFonts w:ascii="方正书宋_GBK" w:eastAsia="方正书宋_GBK"/>
              </w:rPr>
            </w:pPr>
            <w:r>
              <w:rPr>
                <w:rFonts w:hint="eastAsia" w:ascii="宋体" w:hAnsi="宋体" w:cs="宋体"/>
                <w:kern w:val="0"/>
                <w:sz w:val="18"/>
                <w:szCs w:val="18"/>
              </w:rPr>
              <w:t>受训学员对培训教学的满意程度</w:t>
            </w:r>
            <w:r>
              <w:rPr>
                <w:rFonts w:ascii="宋体" w:hAnsi="宋体" w:cs="宋体"/>
                <w:kern w:val="0"/>
                <w:sz w:val="18"/>
                <w:szCs w:val="18"/>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82"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6" w:type="dxa"/>
            <w:vMerge w:val="continue"/>
            <w:vAlign w:val="center"/>
          </w:tcPr>
          <w:p>
            <w:pPr>
              <w:spacing w:line="300" w:lineRule="exact"/>
              <w:jc w:val="left"/>
              <w:rPr>
                <w:rFonts w:ascii="方正书宋_GBK" w:eastAsia="方正书宋_GBK"/>
                <w:b/>
              </w:rPr>
            </w:pPr>
          </w:p>
        </w:tc>
        <w:tc>
          <w:tcPr>
            <w:tcW w:w="1271"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宋体" w:hAnsi="宋体" w:cs="宋体"/>
                <w:kern w:val="0"/>
                <w:sz w:val="18"/>
                <w:szCs w:val="18"/>
              </w:rPr>
              <w:t>党校特色教学数量占教学总量的比例</w:t>
            </w:r>
            <w:r>
              <w:rPr>
                <w:rFonts w:ascii="宋体" w:hAnsi="宋体" w:cs="宋体"/>
                <w:kern w:val="0"/>
                <w:sz w:val="18"/>
                <w:szCs w:val="18"/>
              </w:rPr>
              <w:t>20%</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20%</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15%</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p>
        </w:tc>
        <w:tc>
          <w:tcPr>
            <w:tcW w:w="782" w:type="dxa"/>
            <w:vAlign w:val="center"/>
          </w:tcPr>
          <w:p>
            <w:pPr>
              <w:widowControl/>
              <w:jc w:val="left"/>
              <w:rPr>
                <w:rFonts w:ascii="宋体" w:cs="宋体"/>
                <w:kern w:val="0"/>
                <w:sz w:val="18"/>
                <w:szCs w:val="18"/>
              </w:rPr>
            </w:pPr>
            <w:r>
              <w:rPr>
                <w:rFonts w:ascii="宋体" w:hAnsi="宋体" w:cs="宋体"/>
                <w:kern w:val="0"/>
                <w:sz w:val="18"/>
                <w:szCs w:val="18"/>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6" w:type="dxa"/>
            <w:vMerge w:val="continue"/>
            <w:vAlign w:val="center"/>
          </w:tcPr>
          <w:p>
            <w:pPr>
              <w:spacing w:line="300" w:lineRule="exact"/>
              <w:jc w:val="left"/>
              <w:rPr>
                <w:rFonts w:ascii="方正书宋_GBK" w:eastAsia="方正书宋_GBK"/>
                <w:b/>
              </w:rPr>
            </w:pPr>
          </w:p>
        </w:tc>
        <w:tc>
          <w:tcPr>
            <w:tcW w:w="1271"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宋体" w:hAnsi="宋体" w:cs="宋体"/>
                <w:kern w:val="0"/>
                <w:sz w:val="18"/>
                <w:szCs w:val="18"/>
              </w:rPr>
              <w:t>委托培训的单位对培训教学的满意程度</w:t>
            </w:r>
            <w:r>
              <w:rPr>
                <w:rFonts w:ascii="宋体" w:hAnsi="宋体" w:cs="宋体"/>
                <w:kern w:val="0"/>
                <w:sz w:val="18"/>
                <w:szCs w:val="18"/>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82"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6" w:type="dxa"/>
            <w:vMerge w:val="continue"/>
            <w:vAlign w:val="center"/>
          </w:tcPr>
          <w:p>
            <w:pPr>
              <w:spacing w:line="300" w:lineRule="exact"/>
              <w:jc w:val="left"/>
              <w:rPr>
                <w:rFonts w:ascii="方正书宋_GBK" w:eastAsia="方正书宋_GBK"/>
                <w:b/>
              </w:rPr>
            </w:pPr>
          </w:p>
        </w:tc>
        <w:tc>
          <w:tcPr>
            <w:tcW w:w="1271"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宋体" w:hAnsi="宋体" w:cs="宋体"/>
                <w:kern w:val="0"/>
                <w:sz w:val="18"/>
                <w:szCs w:val="18"/>
              </w:rPr>
              <w:t>年度内已完成的培训、轮训工作量占计划量的比例</w:t>
            </w:r>
            <w:r>
              <w:rPr>
                <w:rFonts w:ascii="宋体" w:hAnsi="宋体" w:cs="宋体"/>
                <w:kern w:val="0"/>
                <w:sz w:val="18"/>
                <w:szCs w:val="18"/>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82"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6" w:type="dxa"/>
            <w:vMerge w:val="restart"/>
            <w:vAlign w:val="center"/>
          </w:tcPr>
          <w:p>
            <w:pPr>
              <w:spacing w:line="300" w:lineRule="exact"/>
              <w:ind w:firstLine="211" w:firstLineChars="100"/>
              <w:jc w:val="left"/>
              <w:rPr>
                <w:rFonts w:ascii="方正书宋_GBK" w:eastAsia="方正书宋_GBK"/>
                <w:b/>
              </w:rPr>
            </w:pPr>
            <w:r>
              <w:rPr>
                <w:rFonts w:hint="eastAsia" w:ascii="方正书宋_GBK" w:eastAsia="方正书宋_GBK"/>
                <w:b/>
              </w:rPr>
              <w:t>师资队伍建设</w:t>
            </w:r>
          </w:p>
        </w:tc>
        <w:tc>
          <w:tcPr>
            <w:tcW w:w="1271"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宋体" w:hAnsi="宋体" w:cs="宋体"/>
                <w:kern w:val="0"/>
                <w:sz w:val="18"/>
                <w:szCs w:val="18"/>
              </w:rPr>
              <w:t>紧紧围绕教学这个中心，加强师资队伍建设，提高教师的教学水平和党校管理水平</w:t>
            </w:r>
          </w:p>
        </w:tc>
        <w:tc>
          <w:tcPr>
            <w:tcW w:w="2976" w:type="dxa"/>
            <w:vMerge w:val="restart"/>
            <w:vAlign w:val="center"/>
          </w:tcPr>
          <w:p>
            <w:pPr>
              <w:spacing w:line="300" w:lineRule="exact"/>
              <w:jc w:val="left"/>
              <w:rPr>
                <w:rFonts w:ascii="方正书宋_GBK" w:eastAsia="方正书宋_GBK"/>
              </w:rPr>
            </w:pPr>
            <w:r>
              <w:rPr>
                <w:rFonts w:hint="eastAsia" w:ascii="宋体" w:hAnsi="宋体" w:cs="宋体"/>
                <w:kern w:val="0"/>
                <w:sz w:val="18"/>
                <w:szCs w:val="18"/>
              </w:rPr>
              <w:t>通过重点培育和建设，形成几门有党校特色的优势学科</w:t>
            </w:r>
            <w:r>
              <w:rPr>
                <w:rFonts w:hint="eastAsia" w:ascii="方正书宋_GBK" w:eastAsia="方正书宋_GBK"/>
              </w:rPr>
              <w:t>。</w:t>
            </w:r>
          </w:p>
        </w:tc>
        <w:tc>
          <w:tcPr>
            <w:tcW w:w="1417" w:type="dxa"/>
            <w:vAlign w:val="center"/>
          </w:tcPr>
          <w:p>
            <w:pPr>
              <w:spacing w:line="300" w:lineRule="exact"/>
              <w:jc w:val="left"/>
              <w:rPr>
                <w:rFonts w:ascii="方正书宋_GBK" w:eastAsia="方正书宋_GBK"/>
              </w:rPr>
            </w:pPr>
            <w:r>
              <w:rPr>
                <w:rFonts w:hint="eastAsia" w:ascii="宋体" w:hAnsi="宋体" w:cs="宋体"/>
                <w:kern w:val="0"/>
                <w:sz w:val="18"/>
                <w:szCs w:val="18"/>
              </w:rPr>
              <w:t>调研了解教师对培训进修内容的满意程度</w:t>
            </w:r>
            <w:r>
              <w:rPr>
                <w:rFonts w:ascii="宋体" w:hAnsi="宋体" w:cs="宋体"/>
                <w:kern w:val="0"/>
                <w:sz w:val="18"/>
                <w:szCs w:val="18"/>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82"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6" w:type="dxa"/>
            <w:vMerge w:val="continue"/>
            <w:vAlign w:val="center"/>
          </w:tcPr>
          <w:p>
            <w:pPr>
              <w:spacing w:line="300" w:lineRule="exact"/>
              <w:jc w:val="left"/>
              <w:rPr>
                <w:rFonts w:ascii="方正书宋_GBK" w:eastAsia="方正书宋_GBK"/>
                <w:b/>
              </w:rPr>
            </w:pPr>
          </w:p>
        </w:tc>
        <w:tc>
          <w:tcPr>
            <w:tcW w:w="1271"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宋体" w:hAnsi="宋体" w:cs="宋体"/>
                <w:kern w:val="0"/>
                <w:sz w:val="18"/>
                <w:szCs w:val="18"/>
              </w:rPr>
              <w:t>培育和建设的具有党校教育特色的优势学科门数</w:t>
            </w:r>
            <w:r>
              <w:rPr>
                <w:rFonts w:ascii="宋体" w:hAnsi="宋体" w:cs="宋体"/>
                <w:kern w:val="0"/>
                <w:sz w:val="18"/>
                <w:szCs w:val="18"/>
              </w:rPr>
              <w:t>(3</w:t>
            </w:r>
            <w:r>
              <w:rPr>
                <w:rFonts w:hint="eastAsia" w:ascii="宋体" w:hAnsi="宋体" w:cs="宋体"/>
                <w:kern w:val="0"/>
                <w:sz w:val="18"/>
                <w:szCs w:val="18"/>
              </w:rPr>
              <w:t>门</w:t>
            </w:r>
            <w:r>
              <w:rPr>
                <w:rFonts w:ascii="宋体" w:hAnsi="宋体" w:cs="宋体"/>
                <w:kern w:val="0"/>
                <w:sz w:val="18"/>
                <w:szCs w:val="18"/>
              </w:rPr>
              <w:t>)</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w:t>
            </w:r>
          </w:p>
        </w:tc>
        <w:tc>
          <w:tcPr>
            <w:tcW w:w="737" w:type="dxa"/>
            <w:vAlign w:val="center"/>
          </w:tcPr>
          <w:p>
            <w:pPr>
              <w:widowControl/>
              <w:jc w:val="left"/>
              <w:rPr>
                <w:rFonts w:ascii="宋体" w:cs="宋体"/>
                <w:kern w:val="0"/>
                <w:sz w:val="18"/>
                <w:szCs w:val="18"/>
              </w:rPr>
            </w:pPr>
            <w:r>
              <w:rPr>
                <w:rFonts w:ascii="宋体" w:hAnsi="宋体" w:cs="宋体"/>
                <w:kern w:val="0"/>
                <w:sz w:val="18"/>
                <w:szCs w:val="18"/>
              </w:rPr>
              <w:t>2</w:t>
            </w:r>
          </w:p>
        </w:tc>
        <w:tc>
          <w:tcPr>
            <w:tcW w:w="737" w:type="dxa"/>
            <w:vAlign w:val="center"/>
          </w:tcPr>
          <w:p>
            <w:pPr>
              <w:widowControl/>
              <w:jc w:val="left"/>
              <w:rPr>
                <w:rFonts w:ascii="宋体" w:cs="宋体"/>
                <w:kern w:val="0"/>
                <w:sz w:val="18"/>
                <w:szCs w:val="18"/>
              </w:rPr>
            </w:pPr>
            <w:r>
              <w:rPr>
                <w:rFonts w:ascii="宋体" w:hAnsi="宋体" w:cs="宋体"/>
                <w:kern w:val="0"/>
                <w:sz w:val="18"/>
                <w:szCs w:val="18"/>
              </w:rPr>
              <w:t>1</w:t>
            </w:r>
          </w:p>
        </w:tc>
        <w:tc>
          <w:tcPr>
            <w:tcW w:w="782" w:type="dxa"/>
            <w:vAlign w:val="center"/>
          </w:tcPr>
          <w:p>
            <w:pPr>
              <w:widowControl/>
              <w:jc w:val="left"/>
              <w:rPr>
                <w:rFonts w:ascii="宋体" w:cs="宋体"/>
                <w:kern w:val="0"/>
                <w:sz w:val="18"/>
                <w:szCs w:val="18"/>
              </w:rPr>
            </w:pPr>
            <w:r>
              <w:rPr>
                <w:rFonts w:ascii="宋体" w:cs="宋体"/>
                <w:kern w:val="0"/>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6" w:type="dxa"/>
            <w:vMerge w:val="continue"/>
            <w:vAlign w:val="center"/>
          </w:tcPr>
          <w:p>
            <w:pPr>
              <w:spacing w:line="300" w:lineRule="exact"/>
              <w:jc w:val="left"/>
              <w:rPr>
                <w:rFonts w:ascii="方正书宋_GBK" w:eastAsia="方正书宋_GBK"/>
                <w:b/>
              </w:rPr>
            </w:pPr>
          </w:p>
        </w:tc>
        <w:tc>
          <w:tcPr>
            <w:tcW w:w="1271"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widowControl/>
              <w:jc w:val="left"/>
              <w:rPr>
                <w:rFonts w:ascii="宋体" w:cs="宋体"/>
                <w:kern w:val="0"/>
                <w:sz w:val="18"/>
                <w:szCs w:val="18"/>
              </w:rPr>
            </w:pPr>
            <w:r>
              <w:rPr>
                <w:rFonts w:hint="eastAsia" w:ascii="宋体" w:hAnsi="宋体" w:cs="宋体"/>
                <w:kern w:val="0"/>
                <w:sz w:val="18"/>
                <w:szCs w:val="18"/>
              </w:rPr>
              <w:t>党校特色教材教案数量占教材教案总数的比例</w:t>
            </w:r>
            <w:r>
              <w:rPr>
                <w:rFonts w:ascii="宋体" w:hAnsi="宋体" w:cs="宋体"/>
                <w:kern w:val="0"/>
                <w:sz w:val="18"/>
                <w:szCs w:val="18"/>
              </w:rPr>
              <w:t>20%</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20%</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15%</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p>
        </w:tc>
        <w:tc>
          <w:tcPr>
            <w:tcW w:w="782" w:type="dxa"/>
            <w:vAlign w:val="center"/>
          </w:tcPr>
          <w:p>
            <w:pPr>
              <w:widowControl/>
              <w:jc w:val="left"/>
              <w:rPr>
                <w:rFonts w:ascii="宋体" w:cs="宋体"/>
                <w:kern w:val="0"/>
                <w:sz w:val="18"/>
                <w:szCs w:val="18"/>
              </w:rPr>
            </w:pPr>
            <w:r>
              <w:rPr>
                <w:rFonts w:ascii="宋体" w:hAnsi="宋体" w:cs="宋体"/>
                <w:kern w:val="0"/>
                <w:sz w:val="18"/>
                <w:szCs w:val="18"/>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6" w:type="dxa"/>
            <w:vMerge w:val="restart"/>
            <w:vAlign w:val="center"/>
          </w:tcPr>
          <w:p>
            <w:pPr>
              <w:spacing w:line="300" w:lineRule="exact"/>
              <w:jc w:val="left"/>
              <w:rPr>
                <w:rFonts w:ascii="方正书宋_GBK" w:eastAsia="方正书宋_GBK"/>
                <w:b/>
              </w:rPr>
            </w:pPr>
            <w:r>
              <w:rPr>
                <w:rFonts w:hint="eastAsia" w:ascii="方正书宋_GBK" w:eastAsia="方正书宋_GBK"/>
                <w:b/>
              </w:rPr>
              <w:t>　教学资料建设</w:t>
            </w:r>
          </w:p>
        </w:tc>
        <w:tc>
          <w:tcPr>
            <w:tcW w:w="1271"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宋体" w:hAnsi="宋体" w:cs="宋体"/>
                <w:kern w:val="0"/>
                <w:sz w:val="18"/>
                <w:szCs w:val="18"/>
              </w:rPr>
              <w:t>以提高教学水平为目的，加强完善教学资料管理。</w:t>
            </w:r>
          </w:p>
        </w:tc>
        <w:tc>
          <w:tcPr>
            <w:tcW w:w="2976" w:type="dxa"/>
            <w:vMerge w:val="restart"/>
            <w:vAlign w:val="center"/>
          </w:tcPr>
          <w:p>
            <w:pPr>
              <w:spacing w:line="300" w:lineRule="exact"/>
              <w:jc w:val="left"/>
              <w:rPr>
                <w:rFonts w:ascii="方正书宋_GBK" w:eastAsia="方正书宋_GBK"/>
              </w:rPr>
            </w:pPr>
            <w:r>
              <w:rPr>
                <w:rFonts w:hint="eastAsia" w:ascii="宋体" w:hAnsi="宋体" w:cs="宋体"/>
                <w:kern w:val="0"/>
                <w:sz w:val="18"/>
                <w:szCs w:val="18"/>
              </w:rPr>
              <w:t>通过重点培育和建设，形成几门有党校特色的优势学科和重点学科</w:t>
            </w:r>
          </w:p>
          <w:p>
            <w:pPr>
              <w:jc w:val="left"/>
              <w:rPr>
                <w:rFonts w:ascii="方正书宋_GBK" w:eastAsia="方正书宋_GBK"/>
              </w:rPr>
            </w:pPr>
            <w:r>
              <w:rPr>
                <w:rFonts w:hint="eastAsia" w:ascii="宋体" w:hAnsi="宋体" w:cs="宋体"/>
                <w:kern w:val="0"/>
                <w:sz w:val="18"/>
                <w:szCs w:val="18"/>
              </w:rPr>
              <w:t>特色优势学科门数</w:t>
            </w:r>
          </w:p>
        </w:tc>
        <w:tc>
          <w:tcPr>
            <w:tcW w:w="1417" w:type="dxa"/>
            <w:vAlign w:val="center"/>
          </w:tcPr>
          <w:p>
            <w:pPr>
              <w:widowControl/>
              <w:jc w:val="left"/>
              <w:rPr>
                <w:rFonts w:ascii="宋体" w:cs="宋体"/>
                <w:kern w:val="0"/>
                <w:sz w:val="18"/>
                <w:szCs w:val="18"/>
              </w:rPr>
            </w:pPr>
            <w:r>
              <w:rPr>
                <w:rFonts w:hint="eastAsia" w:ascii="宋体" w:hAnsi="宋体" w:cs="宋体"/>
                <w:kern w:val="0"/>
                <w:sz w:val="18"/>
                <w:szCs w:val="18"/>
              </w:rPr>
              <w:t>参加外出培训、进修或专项调研、学术交流等活动的教师数量占教师总人数的比例</w:t>
            </w:r>
            <w:r>
              <w:rPr>
                <w:rFonts w:ascii="宋体" w:hAnsi="宋体" w:cs="宋体"/>
                <w:kern w:val="0"/>
                <w:sz w:val="18"/>
                <w:szCs w:val="18"/>
              </w:rPr>
              <w:t>30%</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30%</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20%</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p>
        </w:tc>
        <w:tc>
          <w:tcPr>
            <w:tcW w:w="782"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6" w:type="dxa"/>
            <w:vMerge w:val="continue"/>
            <w:vAlign w:val="center"/>
          </w:tcPr>
          <w:p>
            <w:pPr>
              <w:spacing w:line="300" w:lineRule="exact"/>
              <w:jc w:val="left"/>
              <w:rPr>
                <w:rFonts w:ascii="方正书宋_GBK" w:eastAsia="方正书宋_GBK"/>
                <w:b/>
              </w:rPr>
            </w:pPr>
          </w:p>
        </w:tc>
        <w:tc>
          <w:tcPr>
            <w:tcW w:w="1271"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widowControl/>
              <w:jc w:val="left"/>
              <w:rPr>
                <w:rFonts w:ascii="宋体" w:cs="宋体"/>
                <w:kern w:val="0"/>
                <w:sz w:val="18"/>
                <w:szCs w:val="18"/>
              </w:rPr>
            </w:pPr>
          </w:p>
        </w:tc>
        <w:tc>
          <w:tcPr>
            <w:tcW w:w="1417" w:type="dxa"/>
            <w:vAlign w:val="center"/>
          </w:tcPr>
          <w:p>
            <w:pPr>
              <w:widowControl/>
              <w:jc w:val="left"/>
              <w:rPr>
                <w:rFonts w:ascii="宋体" w:cs="宋体"/>
                <w:kern w:val="0"/>
                <w:sz w:val="18"/>
                <w:szCs w:val="18"/>
              </w:rPr>
            </w:pPr>
            <w:r>
              <w:rPr>
                <w:rFonts w:hint="eastAsia" w:ascii="宋体" w:hAnsi="宋体" w:cs="宋体"/>
                <w:kern w:val="0"/>
                <w:sz w:val="18"/>
                <w:szCs w:val="18"/>
              </w:rPr>
              <w:t>培育和建设的具有党校教育特色的优势重点学科门数</w:t>
            </w:r>
            <w:r>
              <w:rPr>
                <w:rFonts w:ascii="宋体" w:hAnsi="宋体" w:cs="宋体"/>
                <w:kern w:val="0"/>
                <w:sz w:val="18"/>
                <w:szCs w:val="18"/>
              </w:rPr>
              <w:t>3</w:t>
            </w:r>
            <w:r>
              <w:rPr>
                <w:rFonts w:hint="eastAsia" w:ascii="宋体" w:hAnsi="宋体" w:cs="宋体"/>
                <w:kern w:val="0"/>
                <w:sz w:val="18"/>
                <w:szCs w:val="18"/>
              </w:rPr>
              <w:t>门</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w:t>
            </w:r>
            <w:r>
              <w:rPr>
                <w:rFonts w:hint="eastAsia" w:ascii="宋体" w:hAnsi="宋体" w:cs="宋体"/>
                <w:kern w:val="0"/>
                <w:sz w:val="18"/>
                <w:szCs w:val="18"/>
              </w:rPr>
              <w:t>门</w:t>
            </w:r>
          </w:p>
        </w:tc>
        <w:tc>
          <w:tcPr>
            <w:tcW w:w="737" w:type="dxa"/>
            <w:vAlign w:val="center"/>
          </w:tcPr>
          <w:p>
            <w:pPr>
              <w:widowControl/>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门</w:t>
            </w:r>
          </w:p>
        </w:tc>
        <w:tc>
          <w:tcPr>
            <w:tcW w:w="737"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门</w:t>
            </w:r>
          </w:p>
        </w:tc>
        <w:tc>
          <w:tcPr>
            <w:tcW w:w="782" w:type="dxa"/>
            <w:vAlign w:val="center"/>
          </w:tcPr>
          <w:p>
            <w:pPr>
              <w:widowControl/>
              <w:jc w:val="left"/>
              <w:rPr>
                <w:rFonts w:ascii="宋体" w:cs="宋体"/>
                <w:kern w:val="0"/>
                <w:sz w:val="18"/>
                <w:szCs w:val="18"/>
              </w:rPr>
            </w:pPr>
            <w:r>
              <w:rPr>
                <w:rFonts w:ascii="宋体" w:cs="宋体"/>
                <w:kern w:val="0"/>
                <w:sz w:val="18"/>
                <w:szCs w:val="18"/>
              </w:rPr>
              <w:t>0</w:t>
            </w:r>
            <w:r>
              <w:rPr>
                <w:rFonts w:hint="eastAsia" w:ascii="宋体" w:hAnsi="宋体" w:cs="宋体"/>
                <w:kern w:val="0"/>
                <w:sz w:val="18"/>
                <w:szCs w:val="18"/>
              </w:rPr>
              <w:t>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6" w:type="dxa"/>
            <w:vMerge w:val="continue"/>
            <w:vAlign w:val="center"/>
          </w:tcPr>
          <w:p>
            <w:pPr>
              <w:widowControl/>
              <w:jc w:val="left"/>
              <w:rPr>
                <w:rFonts w:ascii="宋体" w:cs="宋体"/>
                <w:kern w:val="0"/>
                <w:sz w:val="18"/>
                <w:szCs w:val="18"/>
              </w:rPr>
            </w:pPr>
          </w:p>
        </w:tc>
        <w:tc>
          <w:tcPr>
            <w:tcW w:w="1271"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widowControl/>
              <w:jc w:val="left"/>
              <w:rPr>
                <w:rFonts w:ascii="宋体" w:cs="宋体"/>
                <w:kern w:val="0"/>
                <w:sz w:val="18"/>
                <w:szCs w:val="18"/>
              </w:rPr>
            </w:pPr>
          </w:p>
        </w:tc>
        <w:tc>
          <w:tcPr>
            <w:tcW w:w="1417" w:type="dxa"/>
            <w:vAlign w:val="center"/>
          </w:tcPr>
          <w:p>
            <w:pPr>
              <w:widowControl/>
              <w:jc w:val="left"/>
              <w:rPr>
                <w:rFonts w:ascii="宋体" w:cs="宋体"/>
                <w:kern w:val="0"/>
                <w:sz w:val="18"/>
                <w:szCs w:val="18"/>
              </w:rPr>
            </w:pPr>
            <w:r>
              <w:rPr>
                <w:rFonts w:hint="eastAsia" w:ascii="宋体" w:hAnsi="宋体" w:cs="宋体"/>
                <w:kern w:val="0"/>
                <w:sz w:val="18"/>
                <w:szCs w:val="18"/>
              </w:rPr>
              <w:t>调研了解教师对培训进修内容的满意情况</w:t>
            </w:r>
            <w:r>
              <w:rPr>
                <w:rFonts w:ascii="宋体" w:hAnsi="宋体" w:cs="宋体"/>
                <w:kern w:val="0"/>
                <w:sz w:val="18"/>
                <w:szCs w:val="18"/>
              </w:rPr>
              <w:t>95%</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95%</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90%</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85%</w:t>
            </w:r>
          </w:p>
        </w:tc>
        <w:tc>
          <w:tcPr>
            <w:tcW w:w="782"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6" w:type="dxa"/>
            <w:vMerge w:val="continue"/>
            <w:vAlign w:val="center"/>
          </w:tcPr>
          <w:p>
            <w:pPr>
              <w:spacing w:line="300" w:lineRule="exact"/>
              <w:jc w:val="left"/>
              <w:rPr>
                <w:rFonts w:ascii="方正书宋_GBK" w:eastAsia="方正书宋_GBK"/>
                <w:b/>
              </w:rPr>
            </w:pPr>
          </w:p>
        </w:tc>
        <w:tc>
          <w:tcPr>
            <w:tcW w:w="1271"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rPr>
            </w:pPr>
            <w:r>
              <w:rPr>
                <w:rFonts w:hint="eastAsia" w:ascii="宋体" w:hAnsi="宋体" w:cs="宋体"/>
                <w:kern w:val="0"/>
                <w:sz w:val="18"/>
                <w:szCs w:val="18"/>
              </w:rPr>
              <w:t>党校特色教材教案数量占教材教案总数的比例</w:t>
            </w:r>
            <w:r>
              <w:rPr>
                <w:rFonts w:ascii="宋体" w:hAnsi="宋体" w:cs="宋体"/>
                <w:kern w:val="0"/>
                <w:sz w:val="18"/>
                <w:szCs w:val="18"/>
              </w:rPr>
              <w:t>15%</w:t>
            </w:r>
          </w:p>
        </w:tc>
        <w:tc>
          <w:tcPr>
            <w:tcW w:w="737" w:type="dxa"/>
            <w:vAlign w:val="center"/>
          </w:tcPr>
          <w:p>
            <w:pPr>
              <w:spacing w:line="300" w:lineRule="exact"/>
              <w:jc w:val="center"/>
              <w:rPr>
                <w:rFonts w:ascii="方正书宋_GBK" w:eastAsia="方正书宋_GBK"/>
              </w:rPr>
            </w:pPr>
            <w:r>
              <w:rPr>
                <w:rFonts w:hint="eastAsia" w:ascii="宋体" w:hAnsi="宋体" w:cs="宋体"/>
                <w:kern w:val="0"/>
                <w:sz w:val="18"/>
                <w:szCs w:val="18"/>
              </w:rPr>
              <w:t>≥</w:t>
            </w:r>
            <w:r>
              <w:rPr>
                <w:rFonts w:ascii="宋体" w:hAnsi="宋体" w:cs="宋体"/>
                <w:kern w:val="0"/>
                <w:sz w:val="18"/>
                <w:szCs w:val="18"/>
              </w:rPr>
              <w:t>15%</w:t>
            </w:r>
          </w:p>
        </w:tc>
        <w:tc>
          <w:tcPr>
            <w:tcW w:w="737" w:type="dxa"/>
            <w:vAlign w:val="center"/>
          </w:tcPr>
          <w:p>
            <w:pPr>
              <w:spacing w:line="300" w:lineRule="exact"/>
              <w:jc w:val="center"/>
              <w:rPr>
                <w:rFonts w:ascii="方正书宋_GBK" w:eastAsia="方正书宋_GBK"/>
              </w:rPr>
            </w:pPr>
            <w:r>
              <w:rPr>
                <w:rFonts w:hint="eastAsia" w:ascii="宋体" w:hAnsi="宋体" w:cs="宋体"/>
                <w:kern w:val="0"/>
                <w:sz w:val="18"/>
                <w:szCs w:val="18"/>
              </w:rPr>
              <w:t>≥</w:t>
            </w:r>
            <w:r>
              <w:rPr>
                <w:rFonts w:ascii="宋体" w:hAnsi="宋体" w:cs="宋体"/>
                <w:kern w:val="0"/>
                <w:sz w:val="18"/>
                <w:szCs w:val="18"/>
              </w:rPr>
              <w:t>10%</w:t>
            </w:r>
          </w:p>
        </w:tc>
        <w:tc>
          <w:tcPr>
            <w:tcW w:w="737" w:type="dxa"/>
            <w:vAlign w:val="center"/>
          </w:tcPr>
          <w:p>
            <w:pPr>
              <w:spacing w:line="300" w:lineRule="exact"/>
              <w:jc w:val="center"/>
              <w:rPr>
                <w:rFonts w:ascii="方正书宋_GBK" w:eastAsia="方正书宋_GBK"/>
              </w:rPr>
            </w:pPr>
            <w:r>
              <w:rPr>
                <w:rFonts w:hint="eastAsia" w:ascii="宋体" w:hAnsi="宋体" w:cs="宋体"/>
                <w:kern w:val="0"/>
                <w:sz w:val="18"/>
                <w:szCs w:val="18"/>
              </w:rPr>
              <w:t>≥</w:t>
            </w:r>
            <w:r>
              <w:rPr>
                <w:rFonts w:ascii="宋体" w:hAnsi="宋体" w:cs="宋体"/>
                <w:kern w:val="0"/>
                <w:sz w:val="18"/>
                <w:szCs w:val="18"/>
              </w:rPr>
              <w:t>5%</w:t>
            </w:r>
          </w:p>
        </w:tc>
        <w:tc>
          <w:tcPr>
            <w:tcW w:w="782" w:type="dxa"/>
            <w:vAlign w:val="center"/>
          </w:tcPr>
          <w:p>
            <w:pPr>
              <w:spacing w:line="300" w:lineRule="exact"/>
              <w:jc w:val="center"/>
              <w:rPr>
                <w:rFonts w:ascii="方正书宋_GBK" w:eastAsia="方正书宋_GBK"/>
              </w:rPr>
            </w:pPr>
            <w:r>
              <w:rPr>
                <w:rFonts w:hint="eastAsia" w:ascii="宋体" w:hAnsi="宋体" w:cs="宋体"/>
                <w:kern w:val="0"/>
                <w:sz w:val="18"/>
                <w:szCs w:val="18"/>
              </w:rPr>
              <w:t>＜</w:t>
            </w:r>
            <w:r>
              <w:rPr>
                <w:rFonts w:ascii="宋体" w:hAnsi="宋体" w:cs="宋体"/>
                <w:kern w:val="0"/>
                <w:sz w:val="18"/>
                <w:szCs w:val="1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6" w:type="dxa"/>
            <w:vMerge w:val="restart"/>
            <w:vAlign w:val="center"/>
          </w:tcPr>
          <w:p>
            <w:pPr>
              <w:spacing w:line="300" w:lineRule="exact"/>
              <w:ind w:firstLine="211" w:firstLineChars="100"/>
              <w:jc w:val="left"/>
              <w:rPr>
                <w:rFonts w:ascii="宋体" w:cs="宋体"/>
                <w:kern w:val="0"/>
                <w:sz w:val="18"/>
                <w:szCs w:val="18"/>
              </w:rPr>
            </w:pPr>
            <w:r>
              <w:rPr>
                <w:rFonts w:hint="eastAsia" w:ascii="方正书宋_GBK" w:eastAsia="方正书宋_GBK"/>
                <w:b/>
              </w:rPr>
              <w:t>教学科研</w:t>
            </w:r>
          </w:p>
        </w:tc>
        <w:tc>
          <w:tcPr>
            <w:tcW w:w="1271" w:type="dxa"/>
            <w:vMerge w:val="restart"/>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宋体" w:hAnsi="宋体" w:cs="宋体"/>
                <w:kern w:val="0"/>
                <w:sz w:val="18"/>
                <w:szCs w:val="18"/>
              </w:rPr>
              <w:t>针对我区发展中遇到的问题，深入基层开展调研</w:t>
            </w:r>
          </w:p>
        </w:tc>
        <w:tc>
          <w:tcPr>
            <w:tcW w:w="2976" w:type="dxa"/>
            <w:vAlign w:val="center"/>
          </w:tcPr>
          <w:p>
            <w:pPr>
              <w:widowControl/>
              <w:jc w:val="left"/>
              <w:rPr>
                <w:rFonts w:ascii="宋体" w:cs="宋体"/>
                <w:kern w:val="0"/>
                <w:sz w:val="18"/>
                <w:szCs w:val="18"/>
              </w:rPr>
            </w:pPr>
            <w:r>
              <w:rPr>
                <w:rFonts w:hint="eastAsia" w:ascii="宋体" w:hAnsi="宋体" w:cs="宋体"/>
                <w:kern w:val="0"/>
                <w:sz w:val="18"/>
                <w:szCs w:val="18"/>
              </w:rPr>
              <w:t>以科研刊物为平台，推动教研人员的科研交流和理论探索，产出高质量的理论成果。</w:t>
            </w:r>
          </w:p>
        </w:tc>
        <w:tc>
          <w:tcPr>
            <w:tcW w:w="1417" w:type="dxa"/>
            <w:vAlign w:val="center"/>
          </w:tcPr>
          <w:p>
            <w:pPr>
              <w:widowControl/>
              <w:jc w:val="left"/>
              <w:rPr>
                <w:rFonts w:ascii="宋体" w:cs="宋体"/>
                <w:kern w:val="0"/>
                <w:sz w:val="18"/>
                <w:szCs w:val="18"/>
              </w:rPr>
            </w:pPr>
            <w:r>
              <w:rPr>
                <w:rFonts w:hint="eastAsia" w:ascii="宋体" w:hAnsi="宋体" w:cs="宋体"/>
                <w:kern w:val="0"/>
                <w:sz w:val="18"/>
                <w:szCs w:val="18"/>
              </w:rPr>
              <w:t>全年科研课题立项数目</w:t>
            </w:r>
            <w:r>
              <w:rPr>
                <w:rFonts w:ascii="宋体" w:hAnsi="宋体" w:cs="宋体"/>
                <w:kern w:val="0"/>
                <w:sz w:val="18"/>
                <w:szCs w:val="18"/>
              </w:rPr>
              <w:t>30%</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30</w:t>
            </w:r>
            <w:r>
              <w:rPr>
                <w:rFonts w:hint="eastAsia" w:ascii="宋体" w:hAnsi="宋体" w:cs="宋体"/>
                <w:kern w:val="0"/>
                <w:sz w:val="18"/>
                <w:szCs w:val="18"/>
              </w:rPr>
              <w:t>项</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20</w:t>
            </w:r>
            <w:r>
              <w:rPr>
                <w:rFonts w:hint="eastAsia" w:ascii="宋体" w:hAnsi="宋体" w:cs="宋体"/>
                <w:kern w:val="0"/>
                <w:sz w:val="18"/>
                <w:szCs w:val="18"/>
              </w:rPr>
              <w:t>项</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r>
              <w:rPr>
                <w:rFonts w:hint="eastAsia" w:ascii="宋体" w:hAnsi="宋体" w:cs="宋体"/>
                <w:kern w:val="0"/>
                <w:sz w:val="18"/>
                <w:szCs w:val="18"/>
              </w:rPr>
              <w:t>项</w:t>
            </w:r>
          </w:p>
        </w:tc>
        <w:tc>
          <w:tcPr>
            <w:tcW w:w="782"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r>
              <w:rPr>
                <w:rFonts w:hint="eastAsia" w:ascii="宋体" w:hAnsi="宋体" w:cs="宋体"/>
                <w:kern w:val="0"/>
                <w:sz w:val="18"/>
                <w:szCs w:val="18"/>
              </w:rPr>
              <w:t>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6" w:type="dxa"/>
            <w:vMerge w:val="continue"/>
            <w:vAlign w:val="center"/>
          </w:tcPr>
          <w:p>
            <w:pPr>
              <w:widowControl/>
              <w:jc w:val="left"/>
              <w:rPr>
                <w:rFonts w:ascii="宋体" w:cs="宋体"/>
                <w:kern w:val="0"/>
                <w:sz w:val="18"/>
                <w:szCs w:val="18"/>
              </w:rPr>
            </w:pPr>
          </w:p>
        </w:tc>
        <w:tc>
          <w:tcPr>
            <w:tcW w:w="1271" w:type="dxa"/>
            <w:vMerge w:val="continue"/>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p>
        </w:tc>
        <w:tc>
          <w:tcPr>
            <w:tcW w:w="2976" w:type="dxa"/>
            <w:vAlign w:val="center"/>
          </w:tcPr>
          <w:p>
            <w:pPr>
              <w:widowControl/>
              <w:jc w:val="left"/>
              <w:rPr>
                <w:rFonts w:ascii="宋体" w:cs="宋体"/>
                <w:kern w:val="0"/>
                <w:sz w:val="18"/>
                <w:szCs w:val="18"/>
              </w:rPr>
            </w:pPr>
          </w:p>
        </w:tc>
        <w:tc>
          <w:tcPr>
            <w:tcW w:w="1417" w:type="dxa"/>
            <w:vAlign w:val="center"/>
          </w:tcPr>
          <w:p>
            <w:pPr>
              <w:widowControl/>
              <w:jc w:val="left"/>
              <w:rPr>
                <w:rFonts w:ascii="宋体" w:cs="宋体"/>
                <w:kern w:val="0"/>
                <w:sz w:val="18"/>
                <w:szCs w:val="18"/>
              </w:rPr>
            </w:pPr>
            <w:r>
              <w:rPr>
                <w:rFonts w:hint="eastAsia" w:ascii="宋体" w:hAnsi="宋体" w:cs="宋体"/>
                <w:kern w:val="0"/>
                <w:sz w:val="18"/>
                <w:szCs w:val="18"/>
              </w:rPr>
              <w:t>科研课题综合评估为优秀等</w:t>
            </w:r>
            <w:r>
              <w:rPr>
                <w:rFonts w:ascii="宋体" w:hAnsi="宋体" w:cs="宋体"/>
                <w:kern w:val="0"/>
                <w:sz w:val="18"/>
                <w:szCs w:val="18"/>
              </w:rPr>
              <w:t>3</w:t>
            </w:r>
            <w:r>
              <w:rPr>
                <w:rFonts w:hint="eastAsia" w:ascii="宋体" w:hAnsi="宋体" w:cs="宋体"/>
                <w:kern w:val="0"/>
                <w:sz w:val="18"/>
                <w:szCs w:val="18"/>
              </w:rPr>
              <w:t>级的数量占参评总数的比例</w:t>
            </w:r>
            <w:r>
              <w:rPr>
                <w:rFonts w:ascii="宋体" w:hAnsi="宋体" w:cs="宋体"/>
                <w:kern w:val="0"/>
                <w:sz w:val="18"/>
                <w:szCs w:val="18"/>
              </w:rPr>
              <w:t>30%</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30%</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20%</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p>
        </w:tc>
        <w:tc>
          <w:tcPr>
            <w:tcW w:w="782"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6" w:type="dxa"/>
            <w:vMerge w:val="restart"/>
            <w:vAlign w:val="center"/>
          </w:tcPr>
          <w:p>
            <w:pPr>
              <w:spacing w:line="300" w:lineRule="exact"/>
              <w:ind w:firstLine="211" w:firstLineChars="100"/>
              <w:jc w:val="left"/>
              <w:rPr>
                <w:rFonts w:ascii="宋体" w:cs="宋体"/>
                <w:kern w:val="0"/>
                <w:sz w:val="18"/>
                <w:szCs w:val="18"/>
              </w:rPr>
            </w:pPr>
            <w:r>
              <w:rPr>
                <w:rFonts w:hint="eastAsia" w:ascii="方正书宋_GBK" w:eastAsia="方正书宋_GBK"/>
                <w:b/>
              </w:rPr>
              <w:t>政策宣讲</w:t>
            </w:r>
          </w:p>
          <w:p>
            <w:pPr>
              <w:widowControl/>
              <w:jc w:val="left"/>
              <w:rPr>
                <w:rFonts w:ascii="宋体" w:cs="宋体"/>
                <w:kern w:val="0"/>
                <w:sz w:val="18"/>
                <w:szCs w:val="18"/>
              </w:rPr>
            </w:pPr>
          </w:p>
          <w:p>
            <w:pPr>
              <w:jc w:val="left"/>
              <w:rPr>
                <w:rFonts w:ascii="宋体" w:cs="宋体"/>
                <w:kern w:val="0"/>
                <w:sz w:val="18"/>
                <w:szCs w:val="18"/>
              </w:rPr>
            </w:pPr>
          </w:p>
        </w:tc>
        <w:tc>
          <w:tcPr>
            <w:tcW w:w="1271" w:type="dxa"/>
            <w:vMerge w:val="restart"/>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宋体" w:hAnsi="宋体" w:cs="宋体"/>
                <w:kern w:val="0"/>
                <w:sz w:val="18"/>
                <w:szCs w:val="18"/>
              </w:rPr>
              <w:t>教师到基层部门进行政策宣讲</w:t>
            </w:r>
          </w:p>
        </w:tc>
        <w:tc>
          <w:tcPr>
            <w:tcW w:w="2976" w:type="dxa"/>
            <w:vAlign w:val="center"/>
          </w:tcPr>
          <w:p>
            <w:pPr>
              <w:widowControl/>
              <w:jc w:val="left"/>
              <w:rPr>
                <w:rFonts w:ascii="宋体" w:cs="宋体"/>
                <w:kern w:val="0"/>
                <w:sz w:val="18"/>
                <w:szCs w:val="18"/>
              </w:rPr>
            </w:pPr>
            <w:r>
              <w:rPr>
                <w:rFonts w:hint="eastAsia" w:ascii="宋体" w:hAnsi="宋体" w:cs="宋体"/>
                <w:kern w:val="0"/>
                <w:sz w:val="18"/>
                <w:szCs w:val="18"/>
              </w:rPr>
              <w:t>通过决策咨询研究，设立一批有质量的决策咨询服务项目，拿出一批优秀的决策咨询成果，为领导决策咨询服务，发挥思想库和智囊团的作用</w:t>
            </w:r>
          </w:p>
        </w:tc>
        <w:tc>
          <w:tcPr>
            <w:tcW w:w="1417" w:type="dxa"/>
            <w:vAlign w:val="center"/>
          </w:tcPr>
          <w:p>
            <w:pPr>
              <w:widowControl/>
              <w:jc w:val="left"/>
              <w:rPr>
                <w:rFonts w:ascii="宋体" w:cs="宋体"/>
                <w:kern w:val="0"/>
                <w:sz w:val="18"/>
                <w:szCs w:val="18"/>
              </w:rPr>
            </w:pPr>
            <w:r>
              <w:rPr>
                <w:rFonts w:hint="eastAsia" w:ascii="宋体" w:hAnsi="宋体" w:cs="宋体"/>
                <w:kern w:val="0"/>
                <w:sz w:val="18"/>
                <w:szCs w:val="18"/>
              </w:rPr>
              <w:t>党校教师到外部门或单位宣讲党的路线方针政策次数（</w:t>
            </w:r>
            <w:r>
              <w:rPr>
                <w:rFonts w:ascii="宋体" w:hAnsi="宋体" w:cs="宋体"/>
                <w:kern w:val="0"/>
                <w:sz w:val="18"/>
                <w:szCs w:val="18"/>
              </w:rPr>
              <w:t>20</w:t>
            </w:r>
            <w:r>
              <w:rPr>
                <w:rFonts w:hint="eastAsia" w:ascii="宋体" w:hAnsi="宋体" w:cs="宋体"/>
                <w:kern w:val="0"/>
                <w:sz w:val="18"/>
                <w:szCs w:val="18"/>
              </w:rPr>
              <w:t>次）</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8</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5</w:t>
            </w:r>
          </w:p>
        </w:tc>
        <w:tc>
          <w:tcPr>
            <w:tcW w:w="782" w:type="dxa"/>
            <w:vAlign w:val="center"/>
          </w:tcPr>
          <w:p>
            <w:pPr>
              <w:widowControl/>
              <w:jc w:val="left"/>
              <w:rPr>
                <w:rFonts w:ascii="宋体" w:cs="宋体"/>
                <w:kern w:val="0"/>
                <w:sz w:val="18"/>
                <w:szCs w:val="18"/>
              </w:rPr>
            </w:pPr>
            <w:r>
              <w:rPr>
                <w:rFonts w:ascii="宋体" w:hAnsi="宋体" w:cs="宋体"/>
                <w:kern w:val="0"/>
                <w:sz w:val="18"/>
                <w:szCs w:val="18"/>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6" w:type="dxa"/>
            <w:vMerge w:val="continue"/>
            <w:vAlign w:val="center"/>
          </w:tcPr>
          <w:p>
            <w:pPr>
              <w:widowControl/>
              <w:jc w:val="left"/>
              <w:rPr>
                <w:rFonts w:ascii="宋体" w:cs="宋体"/>
                <w:kern w:val="0"/>
                <w:sz w:val="18"/>
                <w:szCs w:val="18"/>
              </w:rPr>
            </w:pPr>
          </w:p>
        </w:tc>
        <w:tc>
          <w:tcPr>
            <w:tcW w:w="1271" w:type="dxa"/>
            <w:vMerge w:val="continue"/>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p>
        </w:tc>
        <w:tc>
          <w:tcPr>
            <w:tcW w:w="2976" w:type="dxa"/>
            <w:vAlign w:val="center"/>
          </w:tcPr>
          <w:p>
            <w:pPr>
              <w:widowControl/>
              <w:jc w:val="left"/>
              <w:rPr>
                <w:rFonts w:ascii="宋体" w:cs="宋体"/>
                <w:kern w:val="0"/>
                <w:sz w:val="18"/>
                <w:szCs w:val="18"/>
              </w:rPr>
            </w:pPr>
          </w:p>
        </w:tc>
        <w:tc>
          <w:tcPr>
            <w:tcW w:w="1417" w:type="dxa"/>
            <w:vAlign w:val="center"/>
          </w:tcPr>
          <w:p>
            <w:pPr>
              <w:widowControl/>
              <w:jc w:val="left"/>
              <w:rPr>
                <w:rFonts w:ascii="宋体" w:cs="宋体"/>
                <w:kern w:val="0"/>
                <w:sz w:val="18"/>
                <w:szCs w:val="18"/>
              </w:rPr>
            </w:pPr>
            <w:r>
              <w:rPr>
                <w:rFonts w:hint="eastAsia" w:ascii="宋体" w:hAnsi="宋体" w:cs="宋体"/>
                <w:kern w:val="0"/>
                <w:sz w:val="18"/>
                <w:szCs w:val="18"/>
              </w:rPr>
              <w:t>调研了解外部门或单位对党校教师宣讲内容的满意程度</w:t>
            </w:r>
            <w:r>
              <w:rPr>
                <w:rFonts w:ascii="宋体" w:hAnsi="宋体" w:cs="宋体"/>
                <w:kern w:val="0"/>
                <w:sz w:val="18"/>
                <w:szCs w:val="18"/>
              </w:rPr>
              <w:t>95%</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95%</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90%</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85%</w:t>
            </w:r>
          </w:p>
        </w:tc>
        <w:tc>
          <w:tcPr>
            <w:tcW w:w="782" w:type="dxa"/>
            <w:vAlign w:val="center"/>
          </w:tcPr>
          <w:p>
            <w:pPr>
              <w:widowControl/>
              <w:jc w:val="left"/>
              <w:rPr>
                <w:rFonts w:ascii="宋体" w:cs="宋体"/>
                <w:kern w:val="0"/>
                <w:sz w:val="18"/>
                <w:szCs w:val="18"/>
              </w:rPr>
            </w:pPr>
            <w:r>
              <w:rPr>
                <w:rFonts w:ascii="宋体" w:hAnsi="宋体" w:cs="宋体"/>
                <w:kern w:val="0"/>
                <w:sz w:val="18"/>
                <w:szCs w:val="18"/>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6" w:type="dxa"/>
            <w:vMerge w:val="continue"/>
            <w:vAlign w:val="center"/>
          </w:tcPr>
          <w:p>
            <w:pPr>
              <w:widowControl/>
              <w:jc w:val="left"/>
              <w:rPr>
                <w:rFonts w:ascii="宋体" w:cs="宋体"/>
                <w:kern w:val="0"/>
                <w:sz w:val="18"/>
                <w:szCs w:val="18"/>
              </w:rPr>
            </w:pPr>
          </w:p>
        </w:tc>
        <w:tc>
          <w:tcPr>
            <w:tcW w:w="1271" w:type="dxa"/>
            <w:vMerge w:val="continue"/>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p>
        </w:tc>
        <w:tc>
          <w:tcPr>
            <w:tcW w:w="2976" w:type="dxa"/>
            <w:vAlign w:val="center"/>
          </w:tcPr>
          <w:p>
            <w:pPr>
              <w:widowControl/>
              <w:jc w:val="left"/>
              <w:rPr>
                <w:rFonts w:ascii="宋体" w:cs="宋体"/>
                <w:kern w:val="0"/>
                <w:sz w:val="18"/>
                <w:szCs w:val="18"/>
              </w:rPr>
            </w:pPr>
          </w:p>
        </w:tc>
        <w:tc>
          <w:tcPr>
            <w:tcW w:w="1417" w:type="dxa"/>
            <w:vAlign w:val="center"/>
          </w:tcPr>
          <w:p>
            <w:pPr>
              <w:widowControl/>
              <w:jc w:val="left"/>
              <w:rPr>
                <w:rFonts w:ascii="宋体" w:cs="宋体"/>
                <w:kern w:val="0"/>
                <w:sz w:val="18"/>
                <w:szCs w:val="18"/>
              </w:rPr>
            </w:pPr>
            <w:r>
              <w:rPr>
                <w:rFonts w:hint="eastAsia" w:ascii="宋体" w:hAnsi="宋体" w:cs="宋体"/>
                <w:kern w:val="0"/>
                <w:sz w:val="18"/>
                <w:szCs w:val="18"/>
              </w:rPr>
              <w:t>年度内已完成的决策咨询研究工作量占计划量的比例</w:t>
            </w:r>
            <w:r>
              <w:rPr>
                <w:rFonts w:ascii="宋体" w:hAnsi="宋体" w:cs="宋体"/>
                <w:kern w:val="0"/>
                <w:sz w:val="18"/>
                <w:szCs w:val="18"/>
              </w:rPr>
              <w:t>100%</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100%</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95%</w:t>
            </w:r>
          </w:p>
        </w:tc>
        <w:tc>
          <w:tcPr>
            <w:tcW w:w="737" w:type="dxa"/>
            <w:vAlign w:val="center"/>
          </w:tcPr>
          <w:p>
            <w:pPr>
              <w:widowControl/>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90%</w:t>
            </w:r>
          </w:p>
        </w:tc>
        <w:tc>
          <w:tcPr>
            <w:tcW w:w="782" w:type="dxa"/>
            <w:vAlign w:val="center"/>
          </w:tcPr>
          <w:p>
            <w:pPr>
              <w:widowControl/>
              <w:jc w:val="left"/>
              <w:rPr>
                <w:rFonts w:ascii="宋体" w:cs="宋体"/>
                <w:kern w:val="0"/>
                <w:sz w:val="18"/>
                <w:szCs w:val="18"/>
              </w:rPr>
            </w:pPr>
            <w:r>
              <w:rPr>
                <w:rFonts w:ascii="宋体" w:hAnsi="宋体" w:cs="宋体"/>
                <w:kern w:val="0"/>
                <w:sz w:val="18"/>
                <w:szCs w:val="1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6" w:type="dxa"/>
            <w:vMerge w:val="restart"/>
            <w:vAlign w:val="center"/>
          </w:tcPr>
          <w:p>
            <w:pPr>
              <w:spacing w:line="300" w:lineRule="exact"/>
              <w:jc w:val="left"/>
              <w:rPr>
                <w:rFonts w:ascii="宋体" w:cs="宋体"/>
                <w:kern w:val="0"/>
                <w:sz w:val="18"/>
                <w:szCs w:val="18"/>
              </w:rPr>
            </w:pPr>
            <w:r>
              <w:rPr>
                <w:rFonts w:hint="eastAsia" w:ascii="方正书宋_GBK" w:eastAsia="方正书宋_GBK"/>
                <w:b/>
              </w:rPr>
              <w:t>二、综合事务管理</w:t>
            </w:r>
          </w:p>
        </w:tc>
        <w:tc>
          <w:tcPr>
            <w:tcW w:w="1271" w:type="dxa"/>
            <w:vMerge w:val="restart"/>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139.63</w:t>
            </w:r>
          </w:p>
        </w:tc>
        <w:tc>
          <w:tcPr>
            <w:tcW w:w="2976" w:type="dxa"/>
            <w:vMerge w:val="restart"/>
            <w:vAlign w:val="center"/>
          </w:tcPr>
          <w:p>
            <w:pPr>
              <w:spacing w:line="300" w:lineRule="exact"/>
              <w:jc w:val="left"/>
              <w:rPr>
                <w:rFonts w:ascii="方正书宋_GBK" w:eastAsia="方正书宋_GBK"/>
              </w:rPr>
            </w:pPr>
            <w:r>
              <w:rPr>
                <w:rFonts w:hint="eastAsia" w:ascii="宋体" w:hAnsi="宋体" w:cs="宋体"/>
                <w:kern w:val="0"/>
                <w:sz w:val="18"/>
                <w:szCs w:val="18"/>
              </w:rPr>
              <w:t>组织实施与教学活动和学员培训相关的综合管理和后勤保障事务</w:t>
            </w:r>
          </w:p>
        </w:tc>
        <w:tc>
          <w:tcPr>
            <w:tcW w:w="2976" w:type="dxa"/>
            <w:vMerge w:val="restart"/>
            <w:vAlign w:val="center"/>
          </w:tcPr>
          <w:p>
            <w:pPr>
              <w:spacing w:line="300" w:lineRule="exact"/>
              <w:jc w:val="left"/>
              <w:rPr>
                <w:rFonts w:ascii="宋体" w:cs="宋体"/>
                <w:kern w:val="0"/>
                <w:sz w:val="18"/>
                <w:szCs w:val="18"/>
              </w:rPr>
            </w:pPr>
            <w:r>
              <w:rPr>
                <w:rFonts w:hint="eastAsia" w:ascii="宋体" w:hAnsi="宋体" w:cs="宋体"/>
                <w:kern w:val="0"/>
                <w:sz w:val="18"/>
                <w:szCs w:val="18"/>
              </w:rPr>
              <w:t>切实提高党校综合事务管理水平，保证单位的正常运转。</w:t>
            </w:r>
          </w:p>
        </w:tc>
        <w:tc>
          <w:tcPr>
            <w:tcW w:w="1417" w:type="dxa"/>
            <w:vAlign w:val="center"/>
          </w:tcPr>
          <w:p>
            <w:pPr>
              <w:spacing w:line="300" w:lineRule="exact"/>
              <w:jc w:val="left"/>
              <w:rPr>
                <w:rFonts w:ascii="宋体" w:cs="宋体"/>
                <w:kern w:val="0"/>
                <w:sz w:val="18"/>
                <w:szCs w:val="18"/>
              </w:rPr>
            </w:pPr>
            <w:r>
              <w:rPr>
                <w:rFonts w:hint="eastAsia" w:ascii="宋体" w:hAnsi="宋体" w:cs="宋体"/>
                <w:kern w:val="0"/>
                <w:sz w:val="18"/>
                <w:szCs w:val="18"/>
              </w:rPr>
              <w:t>年度内已完成的后勤保障事务量占计划量的比例</w:t>
            </w:r>
            <w:r>
              <w:rPr>
                <w:rFonts w:ascii="宋体" w:hAnsi="宋体" w:cs="宋体"/>
                <w:kern w:val="0"/>
                <w:sz w:val="18"/>
                <w:szCs w:val="18"/>
              </w:rPr>
              <w:t>100%</w:t>
            </w:r>
          </w:p>
        </w:tc>
        <w:tc>
          <w:tcPr>
            <w:tcW w:w="737" w:type="dxa"/>
            <w:vAlign w:val="center"/>
          </w:tcPr>
          <w:p>
            <w:pPr>
              <w:spacing w:line="300" w:lineRule="exact"/>
              <w:jc w:val="center"/>
              <w:rPr>
                <w:rFonts w:ascii="宋体" w:cs="宋体"/>
                <w:kern w:val="0"/>
                <w:sz w:val="18"/>
                <w:szCs w:val="18"/>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宋体" w:cs="宋体"/>
                <w:kern w:val="0"/>
                <w:sz w:val="18"/>
                <w:szCs w:val="18"/>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宋体" w:cs="宋体"/>
                <w:kern w:val="0"/>
                <w:sz w:val="18"/>
                <w:szCs w:val="18"/>
              </w:rPr>
            </w:pPr>
            <w:r>
              <w:rPr>
                <w:rFonts w:hint="eastAsia" w:ascii="方正书宋_GBK" w:eastAsia="方正书宋_GBK"/>
              </w:rPr>
              <w:t>≥</w:t>
            </w:r>
            <w:r>
              <w:rPr>
                <w:rFonts w:ascii="方正书宋_GBK" w:eastAsia="方正书宋_GBK"/>
              </w:rPr>
              <w:t>90%</w:t>
            </w:r>
          </w:p>
        </w:tc>
        <w:tc>
          <w:tcPr>
            <w:tcW w:w="782" w:type="dxa"/>
            <w:vAlign w:val="center"/>
          </w:tcPr>
          <w:p>
            <w:pPr>
              <w:spacing w:line="300" w:lineRule="exact"/>
              <w:jc w:val="center"/>
              <w:rPr>
                <w:rFonts w:ascii="宋体" w:cs="宋体"/>
                <w:kern w:val="0"/>
                <w:sz w:val="18"/>
                <w:szCs w:val="18"/>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6" w:type="dxa"/>
            <w:vMerge w:val="continue"/>
            <w:vAlign w:val="center"/>
          </w:tcPr>
          <w:p>
            <w:pPr>
              <w:spacing w:line="300" w:lineRule="exact"/>
              <w:jc w:val="left"/>
              <w:rPr>
                <w:rFonts w:ascii="宋体" w:cs="宋体"/>
                <w:kern w:val="0"/>
                <w:sz w:val="18"/>
                <w:szCs w:val="18"/>
              </w:rPr>
            </w:pPr>
          </w:p>
        </w:tc>
        <w:tc>
          <w:tcPr>
            <w:tcW w:w="1271"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宋体" w:cs="宋体"/>
                <w:kern w:val="0"/>
                <w:sz w:val="18"/>
                <w:szCs w:val="18"/>
              </w:rPr>
            </w:pPr>
          </w:p>
        </w:tc>
        <w:tc>
          <w:tcPr>
            <w:tcW w:w="1417" w:type="dxa"/>
            <w:vAlign w:val="center"/>
          </w:tcPr>
          <w:p>
            <w:pPr>
              <w:spacing w:line="300" w:lineRule="exact"/>
              <w:jc w:val="left"/>
              <w:rPr>
                <w:rFonts w:ascii="宋体" w:cs="宋体"/>
                <w:kern w:val="0"/>
                <w:sz w:val="18"/>
                <w:szCs w:val="18"/>
              </w:rPr>
            </w:pPr>
            <w:r>
              <w:rPr>
                <w:rFonts w:hint="eastAsia" w:ascii="宋体" w:hAnsi="宋体" w:cs="宋体"/>
                <w:kern w:val="0"/>
                <w:sz w:val="18"/>
                <w:szCs w:val="18"/>
              </w:rPr>
              <w:t>反映后勤大型设备完好运行的情况</w:t>
            </w:r>
          </w:p>
        </w:tc>
        <w:tc>
          <w:tcPr>
            <w:tcW w:w="737" w:type="dxa"/>
            <w:vAlign w:val="center"/>
          </w:tcPr>
          <w:p>
            <w:pPr>
              <w:spacing w:line="300" w:lineRule="exact"/>
              <w:jc w:val="center"/>
              <w:rPr>
                <w:rFonts w:ascii="宋体" w:cs="宋体"/>
                <w:kern w:val="0"/>
                <w:sz w:val="18"/>
                <w:szCs w:val="18"/>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宋体" w:cs="宋体"/>
                <w:kern w:val="0"/>
                <w:sz w:val="18"/>
                <w:szCs w:val="18"/>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宋体" w:cs="宋体"/>
                <w:kern w:val="0"/>
                <w:sz w:val="18"/>
                <w:szCs w:val="18"/>
              </w:rPr>
            </w:pPr>
            <w:r>
              <w:rPr>
                <w:rFonts w:hint="eastAsia" w:ascii="方正书宋_GBK" w:eastAsia="方正书宋_GBK"/>
              </w:rPr>
              <w:t>≥</w:t>
            </w:r>
            <w:r>
              <w:rPr>
                <w:rFonts w:ascii="方正书宋_GBK" w:eastAsia="方正书宋_GBK"/>
              </w:rPr>
              <w:t>90%</w:t>
            </w:r>
          </w:p>
        </w:tc>
        <w:tc>
          <w:tcPr>
            <w:tcW w:w="782" w:type="dxa"/>
            <w:vAlign w:val="center"/>
          </w:tcPr>
          <w:p>
            <w:pPr>
              <w:spacing w:line="300" w:lineRule="exact"/>
              <w:jc w:val="center"/>
              <w:rPr>
                <w:rFonts w:ascii="宋体" w:cs="宋体"/>
                <w:kern w:val="0"/>
                <w:sz w:val="18"/>
                <w:szCs w:val="18"/>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6" w:type="dxa"/>
            <w:vMerge w:val="continue"/>
            <w:vAlign w:val="center"/>
          </w:tcPr>
          <w:p>
            <w:pPr>
              <w:spacing w:line="300" w:lineRule="exact"/>
              <w:jc w:val="left"/>
              <w:rPr>
                <w:rFonts w:ascii="宋体" w:cs="宋体"/>
                <w:kern w:val="0"/>
                <w:sz w:val="18"/>
                <w:szCs w:val="18"/>
              </w:rPr>
            </w:pPr>
          </w:p>
        </w:tc>
        <w:tc>
          <w:tcPr>
            <w:tcW w:w="1271"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宋体" w:cs="宋体"/>
                <w:kern w:val="0"/>
                <w:sz w:val="18"/>
                <w:szCs w:val="18"/>
              </w:rPr>
            </w:pPr>
          </w:p>
        </w:tc>
        <w:tc>
          <w:tcPr>
            <w:tcW w:w="1417" w:type="dxa"/>
            <w:vAlign w:val="center"/>
          </w:tcPr>
          <w:p>
            <w:pPr>
              <w:spacing w:line="300" w:lineRule="exact"/>
              <w:jc w:val="left"/>
              <w:rPr>
                <w:rFonts w:ascii="宋体" w:cs="宋体"/>
                <w:kern w:val="0"/>
                <w:sz w:val="18"/>
                <w:szCs w:val="18"/>
              </w:rPr>
            </w:pPr>
            <w:r>
              <w:rPr>
                <w:rFonts w:hint="eastAsia" w:ascii="宋体" w:hAnsi="宋体" w:cs="宋体"/>
                <w:kern w:val="0"/>
                <w:sz w:val="18"/>
                <w:szCs w:val="18"/>
              </w:rPr>
              <w:t>受训学员对党校硬件设施和后勤管理的综合满意程度</w:t>
            </w:r>
            <w:r>
              <w:rPr>
                <w:rFonts w:ascii="宋体" w:hAnsi="宋体" w:cs="宋体"/>
                <w:kern w:val="0"/>
                <w:sz w:val="18"/>
                <w:szCs w:val="18"/>
              </w:rPr>
              <w:t>95%</w:t>
            </w:r>
          </w:p>
        </w:tc>
        <w:tc>
          <w:tcPr>
            <w:tcW w:w="737" w:type="dxa"/>
            <w:vAlign w:val="center"/>
          </w:tcPr>
          <w:p>
            <w:pPr>
              <w:spacing w:line="300" w:lineRule="exact"/>
              <w:jc w:val="center"/>
              <w:rPr>
                <w:rFonts w:ascii="宋体" w:cs="宋体"/>
                <w:kern w:val="0"/>
                <w:sz w:val="18"/>
                <w:szCs w:val="18"/>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宋体" w:cs="宋体"/>
                <w:kern w:val="0"/>
                <w:sz w:val="18"/>
                <w:szCs w:val="18"/>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宋体" w:cs="宋体"/>
                <w:kern w:val="0"/>
                <w:sz w:val="18"/>
                <w:szCs w:val="18"/>
              </w:rPr>
            </w:pPr>
            <w:r>
              <w:rPr>
                <w:rFonts w:hint="eastAsia" w:ascii="方正书宋_GBK" w:eastAsia="方正书宋_GBK"/>
              </w:rPr>
              <w:t>≥</w:t>
            </w:r>
            <w:r>
              <w:rPr>
                <w:rFonts w:ascii="方正书宋_GBK" w:eastAsia="方正书宋_GBK"/>
              </w:rPr>
              <w:t>90%</w:t>
            </w:r>
          </w:p>
        </w:tc>
        <w:tc>
          <w:tcPr>
            <w:tcW w:w="782" w:type="dxa"/>
            <w:vAlign w:val="center"/>
          </w:tcPr>
          <w:p>
            <w:pPr>
              <w:spacing w:line="300" w:lineRule="exact"/>
              <w:jc w:val="center"/>
              <w:rPr>
                <w:rFonts w:ascii="宋体" w:cs="宋体"/>
                <w:kern w:val="0"/>
                <w:sz w:val="18"/>
                <w:szCs w:val="18"/>
              </w:rPr>
            </w:pPr>
            <w:r>
              <w:rPr>
                <w:rFonts w:hint="eastAsia" w:ascii="方正书宋_GBK" w:eastAsia="方正书宋_GBK"/>
              </w:rPr>
              <w:t>＜</w:t>
            </w:r>
            <w:r>
              <w:rPr>
                <w:rFonts w:ascii="方正书宋_GBK" w:eastAsia="方正书宋_GBK"/>
              </w:rPr>
              <w:t>90%</w:t>
            </w:r>
          </w:p>
        </w:tc>
      </w:tr>
    </w:tbl>
    <w:p>
      <w:pPr>
        <w:spacing w:line="300" w:lineRule="exact"/>
        <w:jc w:val="left"/>
        <w:outlineLvl w:val="0"/>
        <w:sectPr>
          <w:headerReference r:id="rId5" w:type="first"/>
          <w:footerReference r:id="rId8" w:type="first"/>
          <w:headerReference r:id="rId3" w:type="default"/>
          <w:footerReference r:id="rId6" w:type="default"/>
          <w:headerReference r:id="rId4" w:type="even"/>
          <w:footerReference r:id="rId7" w:type="even"/>
          <w:pgSz w:w="16839" w:h="11907" w:orient="landscape"/>
          <w:pgMar w:top="1020" w:right="1361" w:bottom="1020" w:left="1361" w:header="851" w:footer="992" w:gutter="0"/>
          <w:cols w:space="720" w:num="1"/>
          <w:docGrid w:type="lines" w:linePitch="312" w:charSpace="0"/>
        </w:sectPr>
      </w:pPr>
    </w:p>
    <w:p>
      <w:pPr>
        <w:ind w:firstLine="630"/>
        <w:rPr>
          <w:rFonts w:ascii="宋体" w:cs="宋体"/>
          <w:b/>
          <w:sz w:val="32"/>
          <w:szCs w:val="32"/>
        </w:rPr>
      </w:pPr>
    </w:p>
    <w:p>
      <w:pPr>
        <w:ind w:firstLine="630"/>
        <w:rPr>
          <w:rFonts w:ascii="宋体" w:cs="宋体"/>
          <w:b/>
          <w:sz w:val="32"/>
          <w:szCs w:val="32"/>
        </w:rPr>
      </w:pPr>
    </w:p>
    <w:p>
      <w:pPr>
        <w:ind w:firstLine="630"/>
        <w:rPr>
          <w:rFonts w:hint="eastAsia" w:ascii="宋体" w:hAnsi="宋体" w:cs="宋体"/>
          <w:b/>
          <w:sz w:val="32"/>
          <w:szCs w:val="32"/>
          <w:lang w:eastAsia="zh-CN"/>
        </w:rPr>
      </w:pPr>
      <w:r>
        <w:rPr>
          <w:rFonts w:hint="eastAsia" w:ascii="宋体" w:hAnsi="宋体" w:cs="宋体"/>
          <w:b/>
          <w:sz w:val="32"/>
          <w:szCs w:val="32"/>
          <w:lang w:eastAsia="zh-CN"/>
        </w:rPr>
        <w:t>六、政府采购预算情况</w:t>
      </w:r>
    </w:p>
    <w:p>
      <w:pPr>
        <w:ind w:firstLine="640" w:firstLineChars="200"/>
        <w:rPr>
          <w:rFonts w:hint="eastAsia" w:eastAsia="仿宋"/>
          <w:sz w:val="32"/>
          <w:szCs w:val="32"/>
          <w:lang w:val="en-US" w:eastAsia="zh-CN"/>
        </w:rPr>
      </w:pPr>
      <w:r>
        <w:rPr>
          <w:rFonts w:hint="eastAsia" w:eastAsia="仿宋"/>
          <w:sz w:val="32"/>
          <w:szCs w:val="32"/>
          <w:lang w:val="en-US" w:eastAsia="zh-CN"/>
        </w:rPr>
        <w:t>2019年我单位未安排采购计划。</w:t>
      </w:r>
    </w:p>
    <w:p>
      <w:pPr>
        <w:ind w:firstLine="630"/>
        <w:rPr>
          <w:rFonts w:ascii="宋体" w:cs="宋体"/>
          <w:b/>
          <w:sz w:val="32"/>
          <w:szCs w:val="32"/>
        </w:rPr>
      </w:pPr>
      <w:r>
        <w:rPr>
          <w:rFonts w:hint="eastAsia" w:ascii="宋体" w:hAnsi="宋体" w:cs="宋体"/>
          <w:b/>
          <w:sz w:val="32"/>
          <w:szCs w:val="32"/>
          <w:lang w:eastAsia="zh-CN"/>
        </w:rPr>
        <w:t>七、</w:t>
      </w:r>
      <w:r>
        <w:rPr>
          <w:rFonts w:hint="eastAsia" w:ascii="宋体" w:hAnsi="宋体" w:cs="宋体"/>
          <w:b/>
          <w:sz w:val="32"/>
          <w:szCs w:val="32"/>
        </w:rPr>
        <w:t>国有资产信息</w:t>
      </w:r>
    </w:p>
    <w:p>
      <w:pPr>
        <w:ind w:firstLine="640" w:firstLineChars="200"/>
        <w:rPr>
          <w:rFonts w:hint="eastAsia" w:eastAsia="仿宋"/>
          <w:sz w:val="32"/>
          <w:szCs w:val="32"/>
        </w:rPr>
      </w:pPr>
      <w:r>
        <w:rPr>
          <w:rFonts w:hint="eastAsia" w:eastAsia="仿宋"/>
          <w:sz w:val="32"/>
          <w:szCs w:val="32"/>
        </w:rPr>
        <w:t>我部门严格按照国有资产有关规定管理本部门国有资产,现将具体情况说明如下:</w:t>
      </w:r>
    </w:p>
    <w:p>
      <w:pPr>
        <w:ind w:firstLine="630"/>
        <w:rPr>
          <w:rFonts w:hint="eastAsia" w:ascii="??_GB2312"/>
          <w:b/>
          <w:sz w:val="32"/>
          <w:szCs w:val="32"/>
          <w:lang w:val="en-US" w:eastAsia="zh-CN"/>
        </w:rPr>
      </w:pPr>
      <w:r>
        <w:rPr>
          <w:rFonts w:ascii="??_GB2312" w:eastAsia="Times New Roman"/>
          <w:b/>
          <w:sz w:val="32"/>
          <w:szCs w:val="32"/>
        </w:rPr>
        <w:t>一、201</w:t>
      </w:r>
      <w:r>
        <w:rPr>
          <w:rFonts w:hint="eastAsia" w:ascii="??_GB2312"/>
          <w:b/>
          <w:sz w:val="32"/>
          <w:szCs w:val="32"/>
          <w:lang w:val="en-US" w:eastAsia="zh-CN"/>
        </w:rPr>
        <w:t>9</w:t>
      </w:r>
      <w:r>
        <w:rPr>
          <w:rFonts w:ascii="??_GB2312" w:eastAsia="Times New Roman"/>
          <w:b/>
          <w:sz w:val="32"/>
          <w:szCs w:val="32"/>
        </w:rPr>
        <w:t>年度国有资产占有情况</w:t>
      </w:r>
      <w:r>
        <w:rPr>
          <w:rFonts w:hint="eastAsia" w:ascii="??_GB2312"/>
          <w:b/>
          <w:sz w:val="32"/>
          <w:szCs w:val="32"/>
          <w:lang w:val="en-US" w:eastAsia="zh-CN"/>
        </w:rPr>
        <w:t xml:space="preserve"> </w:t>
      </w:r>
    </w:p>
    <w:p>
      <w:pPr>
        <w:ind w:firstLine="630"/>
        <w:rPr>
          <w:rFonts w:ascii="??_GB2312"/>
          <w:sz w:val="32"/>
          <w:szCs w:val="32"/>
        </w:rPr>
      </w:pPr>
      <w:r>
        <w:rPr>
          <w:rFonts w:hint="eastAsia" w:eastAsia="仿宋"/>
          <w:color w:val="FF0000"/>
          <w:sz w:val="32"/>
          <w:szCs w:val="32"/>
        </w:rPr>
        <w:t>中共双桥区委党校</w:t>
      </w:r>
      <w:r>
        <w:rPr>
          <w:rFonts w:ascii="??_GB2312" w:eastAsia="Times New Roman"/>
          <w:sz w:val="32"/>
          <w:szCs w:val="32"/>
        </w:rPr>
        <w:t>上年年末固定资产</w:t>
      </w:r>
      <w:r>
        <w:rPr>
          <w:rFonts w:hint="eastAsia" w:ascii="??_GB2312"/>
          <w:sz w:val="32"/>
          <w:szCs w:val="32"/>
          <w:lang w:val="en-US" w:eastAsia="zh-CN"/>
        </w:rPr>
        <w:t>193293</w:t>
      </w:r>
      <w:r>
        <w:rPr>
          <w:rFonts w:ascii="??_GB2312" w:eastAsia="Times New Roman"/>
          <w:sz w:val="32"/>
          <w:szCs w:val="32"/>
        </w:rPr>
        <w:t>.23元</w:t>
      </w:r>
      <w:r>
        <w:rPr>
          <w:rFonts w:hint="eastAsia" w:ascii="??_GB2312"/>
          <w:sz w:val="32"/>
          <w:szCs w:val="32"/>
        </w:rPr>
        <w:t>。</w:t>
      </w:r>
      <w:r>
        <w:rPr>
          <w:rFonts w:ascii="??_GB2312" w:eastAsia="Times New Roman"/>
          <w:sz w:val="32"/>
          <w:szCs w:val="32"/>
        </w:rPr>
        <w:t>主要实物数据：</w:t>
      </w:r>
      <w:r>
        <w:rPr>
          <w:rFonts w:ascii="??_GB2312" w:hAnsi="仿宋" w:eastAsia="Times New Roman"/>
          <w:kern w:val="0"/>
          <w:sz w:val="32"/>
          <w:szCs w:val="32"/>
        </w:rPr>
        <w:t>通用办公设备</w:t>
      </w:r>
      <w:r>
        <w:rPr>
          <w:rFonts w:hint="eastAsia" w:ascii="??_GB2312" w:hAnsi="仿宋"/>
          <w:kern w:val="0"/>
          <w:sz w:val="32"/>
          <w:szCs w:val="32"/>
          <w:lang w:val="en-US" w:eastAsia="zh-CN"/>
        </w:rPr>
        <w:t>87848</w:t>
      </w:r>
      <w:r>
        <w:rPr>
          <w:rFonts w:hint="eastAsia" w:ascii="??_GB2312"/>
          <w:sz w:val="32"/>
          <w:szCs w:val="32"/>
          <w:lang w:val="en-US" w:eastAsia="zh-CN"/>
        </w:rPr>
        <w:t>.23</w:t>
      </w:r>
      <w:r>
        <w:rPr>
          <w:rFonts w:ascii="??_GB2312" w:hAnsi="仿宋" w:eastAsia="Times New Roman"/>
          <w:kern w:val="0"/>
          <w:sz w:val="32"/>
          <w:szCs w:val="32"/>
        </w:rPr>
        <w:t>元，</w:t>
      </w:r>
      <w:r>
        <w:rPr>
          <w:rFonts w:hint="eastAsia" w:ascii="??_GB2312" w:hAnsi="仿宋"/>
          <w:kern w:val="0"/>
          <w:sz w:val="32"/>
          <w:szCs w:val="32"/>
          <w:lang w:eastAsia="zh-CN"/>
        </w:rPr>
        <w:t>办公家具：</w:t>
      </w:r>
      <w:r>
        <w:rPr>
          <w:rFonts w:hint="eastAsia" w:ascii="??_GB2312" w:hAnsi="仿宋"/>
          <w:kern w:val="0"/>
          <w:sz w:val="32"/>
          <w:szCs w:val="32"/>
          <w:lang w:val="en-US" w:eastAsia="zh-CN"/>
        </w:rPr>
        <w:t>94450元，空调10995元</w:t>
      </w:r>
      <w:r>
        <w:rPr>
          <w:rFonts w:ascii="??_GB2312" w:hAnsi="仿宋" w:eastAsia="Times New Roman"/>
          <w:kern w:val="0"/>
          <w:sz w:val="32"/>
          <w:szCs w:val="32"/>
        </w:rPr>
        <w:t>。</w:t>
      </w:r>
    </w:p>
    <w:p>
      <w:pPr>
        <w:rPr>
          <w:rFonts w:eastAsia="仿宋"/>
          <w:color w:val="FF0000"/>
          <w:sz w:val="32"/>
          <w:szCs w:val="32"/>
        </w:rPr>
      </w:pPr>
      <w:bookmarkStart w:id="1" w:name="_GoBack"/>
      <w:bookmarkEnd w:id="1"/>
    </w:p>
    <w:tbl>
      <w:tblPr>
        <w:tblStyle w:val="6"/>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rPr>
                <w:rFonts w:ascii="??_GB2312" w:eastAsia="Times New Roman"/>
                <w:sz w:val="32"/>
                <w:szCs w:val="32"/>
              </w:rPr>
            </w:pPr>
          </w:p>
          <w:p>
            <w:pPr>
              <w:widowControl/>
              <w:ind w:firstLine="3213" w:firstLineChars="1000"/>
              <w:jc w:val="both"/>
              <w:rPr>
                <w:rFonts w:ascii="宋体" w:cs="宋体"/>
                <w:b/>
                <w:bCs/>
                <w:kern w:val="0"/>
                <w:sz w:val="32"/>
                <w:szCs w:val="32"/>
              </w:rPr>
            </w:pPr>
            <w:r>
              <w:rPr>
                <w:rFonts w:hint="eastAsia" w:ascii="宋体" w:hAnsi="宋体" w:cs="宋体"/>
                <w:b/>
                <w:bCs/>
                <w:kern w:val="0"/>
                <w:sz w:val="32"/>
                <w:szCs w:val="32"/>
              </w:rPr>
              <w:t>承德市双桥区直部门固定资产占用情况表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eastAsia="仿宋"/>
                <w:kern w:val="0"/>
                <w:sz w:val="22"/>
              </w:rPr>
            </w:pPr>
            <w:r>
              <w:rPr>
                <w:rFonts w:hint="eastAsia" w:eastAsia="仿宋"/>
                <w:kern w:val="0"/>
                <w:sz w:val="22"/>
              </w:rPr>
              <w:t>编制部门：</w:t>
            </w:r>
            <w:r>
              <w:rPr>
                <w:rFonts w:hint="eastAsia" w:eastAsia="仿宋"/>
                <w:color w:val="FF0000"/>
                <w:sz w:val="32"/>
                <w:szCs w:val="32"/>
              </w:rPr>
              <w:t>中共双桥区委党校</w:t>
            </w:r>
          </w:p>
        </w:tc>
        <w:tc>
          <w:tcPr>
            <w:tcW w:w="5103" w:type="dxa"/>
            <w:tcBorders>
              <w:top w:val="nil"/>
              <w:left w:val="nil"/>
              <w:bottom w:val="nil"/>
              <w:right w:val="nil"/>
            </w:tcBorders>
            <w:vAlign w:val="center"/>
          </w:tcPr>
          <w:p>
            <w:pPr>
              <w:widowControl/>
              <w:ind w:firstLine="1320" w:firstLineChars="600"/>
              <w:jc w:val="left"/>
              <w:rPr>
                <w:rFonts w:eastAsia="仿宋"/>
                <w:kern w:val="0"/>
                <w:sz w:val="22"/>
              </w:rPr>
            </w:pPr>
            <w:r>
              <w:rPr>
                <w:rFonts w:hint="eastAsia" w:eastAsia="仿宋"/>
                <w:kern w:val="0"/>
                <w:sz w:val="22"/>
              </w:rPr>
              <w:t>截止时间：</w:t>
            </w:r>
            <w:r>
              <w:rPr>
                <w:rFonts w:eastAsia="仿宋"/>
                <w:kern w:val="0"/>
                <w:sz w:val="22"/>
              </w:rPr>
              <w:t>201</w:t>
            </w:r>
            <w:r>
              <w:rPr>
                <w:rFonts w:hint="eastAsia" w:eastAsia="仿宋"/>
                <w:kern w:val="0"/>
                <w:sz w:val="22"/>
                <w:lang w:val="en-US" w:eastAsia="zh-CN"/>
              </w:rPr>
              <w:t>9</w:t>
            </w:r>
            <w:r>
              <w:rPr>
                <w:rFonts w:hint="eastAsia" w:eastAsia="仿宋"/>
                <w:kern w:val="0"/>
                <w:sz w:val="22"/>
              </w:rPr>
              <w:t>年</w:t>
            </w:r>
            <w:r>
              <w:rPr>
                <w:rFonts w:eastAsia="仿宋"/>
                <w:kern w:val="0"/>
                <w:sz w:val="22"/>
              </w:rPr>
              <w:t>2</w:t>
            </w:r>
            <w:r>
              <w:rPr>
                <w:rFonts w:hint="eastAsia" w:eastAsia="仿宋"/>
                <w:kern w:val="0"/>
                <w:sz w:val="22"/>
              </w:rPr>
              <w:t>月</w:t>
            </w:r>
            <w:r>
              <w:rPr>
                <w:rFonts w:hint="eastAsia" w:eastAsia="仿宋"/>
                <w:kern w:val="0"/>
                <w:sz w:val="22"/>
                <w:lang w:val="en-US" w:eastAsia="zh-CN"/>
              </w:rPr>
              <w:t>2</w:t>
            </w:r>
            <w:r>
              <w:rPr>
                <w:rFonts w:hint="eastAsia" w:eastAsia="仿宋"/>
                <w:kern w:val="0"/>
                <w:sz w:val="22"/>
              </w:rPr>
              <w:t>日</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ind w:firstLine="630"/>
              <w:rPr>
                <w:rFonts w:hint="eastAsia" w:ascii="??_GB2312"/>
                <w:sz w:val="32"/>
                <w:szCs w:val="32"/>
                <w:lang w:val="en-US" w:eastAsia="zh-CN"/>
              </w:rPr>
            </w:pPr>
            <w:r>
              <w:rPr>
                <w:rFonts w:hint="eastAsia" w:ascii="??_GB2312"/>
                <w:sz w:val="32"/>
                <w:szCs w:val="32"/>
                <w:lang w:val="en-US" w:eastAsia="zh-CN"/>
              </w:rPr>
              <w:t>资产总额</w:t>
            </w:r>
          </w:p>
        </w:tc>
        <w:tc>
          <w:tcPr>
            <w:tcW w:w="3155" w:type="dxa"/>
            <w:tcBorders>
              <w:top w:val="nil"/>
              <w:left w:val="nil"/>
              <w:bottom w:val="single" w:color="auto" w:sz="4" w:space="0"/>
              <w:right w:val="single" w:color="auto" w:sz="4" w:space="0"/>
            </w:tcBorders>
            <w:vAlign w:val="center"/>
          </w:tcPr>
          <w:p>
            <w:pPr>
              <w:ind w:firstLine="630"/>
              <w:rPr>
                <w:rFonts w:hint="eastAsia" w:ascii="??_GB2312"/>
                <w:sz w:val="32"/>
                <w:szCs w:val="32"/>
                <w:lang w:val="en-US" w:eastAsia="zh-CN"/>
              </w:rPr>
            </w:pPr>
            <w:r>
              <w:rPr>
                <w:rFonts w:hint="eastAsia" w:ascii="??_GB2312"/>
                <w:sz w:val="32"/>
                <w:szCs w:val="32"/>
                <w:lang w:val="en-US" w:eastAsia="zh-CN"/>
              </w:rPr>
              <w:t>——</w:t>
            </w:r>
          </w:p>
        </w:tc>
        <w:tc>
          <w:tcPr>
            <w:tcW w:w="5103" w:type="dxa"/>
            <w:tcBorders>
              <w:top w:val="nil"/>
              <w:left w:val="nil"/>
              <w:bottom w:val="single" w:color="auto" w:sz="4" w:space="0"/>
              <w:right w:val="single" w:color="auto" w:sz="4" w:space="0"/>
            </w:tcBorders>
            <w:vAlign w:val="center"/>
          </w:tcPr>
          <w:p>
            <w:pPr>
              <w:ind w:firstLine="630"/>
              <w:rPr>
                <w:rFonts w:hint="eastAsia" w:ascii="??_GB2312"/>
                <w:sz w:val="32"/>
                <w:szCs w:val="32"/>
                <w:lang w:val="en-US" w:eastAsia="zh-CN"/>
              </w:rPr>
            </w:pPr>
            <w:r>
              <w:rPr>
                <w:rFonts w:hint="eastAsia" w:ascii="??_GB2312"/>
                <w:sz w:val="32"/>
                <w:szCs w:val="32"/>
                <w:lang w:val="en-US" w:eastAsia="zh-CN"/>
              </w:rPr>
              <w:t>193293.23</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nil"/>
              <w:right w:val="single" w:color="auto" w:sz="4" w:space="0"/>
            </w:tcBorders>
            <w:vAlign w:val="center"/>
          </w:tcPr>
          <w:p>
            <w:pPr>
              <w:ind w:firstLine="630"/>
              <w:rPr>
                <w:rFonts w:hint="eastAsia" w:ascii="??_GB2312"/>
                <w:sz w:val="32"/>
                <w:szCs w:val="32"/>
                <w:lang w:val="en-US" w:eastAsia="zh-CN"/>
              </w:rPr>
            </w:pPr>
            <w:r>
              <w:rPr>
                <w:rFonts w:hint="eastAsia" w:ascii="??_GB2312"/>
                <w:sz w:val="32"/>
                <w:szCs w:val="32"/>
                <w:lang w:val="en-US" w:eastAsia="zh-CN"/>
              </w:rPr>
              <w:t>通讯办公设备</w:t>
            </w:r>
          </w:p>
        </w:tc>
        <w:tc>
          <w:tcPr>
            <w:tcW w:w="3155" w:type="dxa"/>
            <w:tcBorders>
              <w:top w:val="nil"/>
              <w:left w:val="nil"/>
              <w:bottom w:val="nil"/>
              <w:right w:val="single" w:color="auto" w:sz="4" w:space="0"/>
            </w:tcBorders>
            <w:vAlign w:val="center"/>
          </w:tcPr>
          <w:p>
            <w:pPr>
              <w:ind w:firstLine="630"/>
              <w:rPr>
                <w:rFonts w:hint="eastAsia" w:ascii="??_GB2312"/>
                <w:sz w:val="32"/>
                <w:szCs w:val="32"/>
                <w:lang w:val="en-US" w:eastAsia="zh-CN"/>
              </w:rPr>
            </w:pPr>
            <w:r>
              <w:rPr>
                <w:rFonts w:hint="eastAsia" w:ascii="??_GB2312"/>
                <w:sz w:val="32"/>
                <w:szCs w:val="32"/>
                <w:lang w:val="en-US" w:eastAsia="zh-CN"/>
              </w:rPr>
              <w:t>——</w:t>
            </w:r>
          </w:p>
        </w:tc>
        <w:tc>
          <w:tcPr>
            <w:tcW w:w="5103" w:type="dxa"/>
            <w:tcBorders>
              <w:top w:val="nil"/>
              <w:left w:val="nil"/>
              <w:bottom w:val="nil"/>
              <w:right w:val="single" w:color="auto" w:sz="4" w:space="0"/>
            </w:tcBorders>
            <w:vAlign w:val="center"/>
          </w:tcPr>
          <w:p>
            <w:pPr>
              <w:ind w:firstLine="630"/>
              <w:rPr>
                <w:rFonts w:hint="eastAsia" w:ascii="??_GB2312"/>
                <w:sz w:val="32"/>
                <w:szCs w:val="32"/>
                <w:lang w:val="en-US" w:eastAsia="zh-CN"/>
              </w:rPr>
            </w:pPr>
            <w:r>
              <w:rPr>
                <w:rFonts w:hint="eastAsia" w:ascii="??_GB2312"/>
                <w:sz w:val="32"/>
                <w:szCs w:val="32"/>
                <w:lang w:val="en-US" w:eastAsia="zh-CN"/>
              </w:rPr>
              <w:t>87848.23</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nil"/>
              <w:right w:val="single" w:color="auto" w:sz="4" w:space="0"/>
            </w:tcBorders>
            <w:vAlign w:val="center"/>
          </w:tcPr>
          <w:p>
            <w:pPr>
              <w:ind w:firstLine="630"/>
              <w:rPr>
                <w:rFonts w:hint="eastAsia" w:ascii="??_GB2312"/>
                <w:sz w:val="32"/>
                <w:szCs w:val="32"/>
                <w:lang w:val="en-US" w:eastAsia="zh-CN"/>
              </w:rPr>
            </w:pPr>
            <w:r>
              <w:rPr>
                <w:rFonts w:hint="eastAsia" w:ascii="??_GB2312"/>
                <w:sz w:val="32"/>
                <w:szCs w:val="32"/>
                <w:lang w:val="en-US" w:eastAsia="zh-CN"/>
              </w:rPr>
              <w:t>办公家具</w:t>
            </w:r>
          </w:p>
        </w:tc>
        <w:tc>
          <w:tcPr>
            <w:tcW w:w="3155" w:type="dxa"/>
            <w:tcBorders>
              <w:top w:val="nil"/>
              <w:left w:val="nil"/>
              <w:bottom w:val="nil"/>
              <w:right w:val="single" w:color="auto" w:sz="4" w:space="0"/>
            </w:tcBorders>
            <w:vAlign w:val="center"/>
          </w:tcPr>
          <w:p>
            <w:pPr>
              <w:ind w:firstLine="630"/>
              <w:rPr>
                <w:rFonts w:hint="eastAsia" w:ascii="??_GB2312"/>
                <w:sz w:val="32"/>
                <w:szCs w:val="32"/>
                <w:lang w:val="en-US" w:eastAsia="zh-CN"/>
              </w:rPr>
            </w:pPr>
            <w:r>
              <w:rPr>
                <w:rFonts w:hint="eastAsia" w:ascii="??_GB2312"/>
                <w:sz w:val="32"/>
                <w:szCs w:val="32"/>
                <w:lang w:val="en-US" w:eastAsia="zh-CN"/>
              </w:rPr>
              <w:t>——</w:t>
            </w:r>
          </w:p>
        </w:tc>
        <w:tc>
          <w:tcPr>
            <w:tcW w:w="5103" w:type="dxa"/>
            <w:tcBorders>
              <w:top w:val="nil"/>
              <w:left w:val="nil"/>
              <w:bottom w:val="nil"/>
              <w:right w:val="single" w:color="auto" w:sz="4" w:space="0"/>
            </w:tcBorders>
            <w:vAlign w:val="center"/>
          </w:tcPr>
          <w:p>
            <w:pPr>
              <w:ind w:firstLine="630"/>
              <w:rPr>
                <w:rFonts w:hint="eastAsia" w:ascii="??_GB2312"/>
                <w:sz w:val="32"/>
                <w:szCs w:val="32"/>
                <w:lang w:val="en-US" w:eastAsia="zh-CN"/>
              </w:rPr>
            </w:pPr>
            <w:r>
              <w:rPr>
                <w:rFonts w:hint="eastAsia" w:ascii="??_GB2312"/>
                <w:sz w:val="32"/>
                <w:szCs w:val="32"/>
                <w:lang w:val="en-US" w:eastAsia="zh-CN"/>
              </w:rPr>
              <w:t>94450</w:t>
            </w:r>
          </w:p>
        </w:tc>
      </w:tr>
      <w:tr>
        <w:tblPrEx>
          <w:tblLayout w:type="fixed"/>
          <w:tblCellMar>
            <w:top w:w="0" w:type="dxa"/>
            <w:left w:w="108" w:type="dxa"/>
            <w:bottom w:w="0" w:type="dxa"/>
            <w:right w:w="108" w:type="dxa"/>
          </w:tblCellMar>
        </w:tblPrEx>
        <w:trPr>
          <w:trHeight w:val="615" w:hRule="atLeast"/>
        </w:trPr>
        <w:tc>
          <w:tcPr>
            <w:tcW w:w="5224" w:type="dxa"/>
            <w:tcBorders>
              <w:top w:val="nil"/>
              <w:left w:val="single" w:color="auto" w:sz="4" w:space="0"/>
              <w:bottom w:val="single" w:color="auto" w:sz="4" w:space="0"/>
              <w:right w:val="single" w:color="auto" w:sz="4" w:space="0"/>
            </w:tcBorders>
            <w:vAlign w:val="center"/>
          </w:tcPr>
          <w:p>
            <w:pPr>
              <w:ind w:firstLine="630"/>
              <w:rPr>
                <w:rFonts w:hint="eastAsia" w:ascii="??_GB2312"/>
                <w:sz w:val="32"/>
                <w:szCs w:val="32"/>
                <w:lang w:val="en-US" w:eastAsia="zh-CN"/>
              </w:rPr>
            </w:pPr>
            <w:r>
              <w:rPr>
                <w:rFonts w:hint="eastAsia" w:ascii="??_GB2312"/>
                <w:sz w:val="32"/>
                <w:szCs w:val="32"/>
                <w:lang w:val="en-US" w:eastAsia="zh-CN"/>
              </w:rPr>
              <w:t>空调</w:t>
            </w:r>
          </w:p>
        </w:tc>
        <w:tc>
          <w:tcPr>
            <w:tcW w:w="3155" w:type="dxa"/>
            <w:tcBorders>
              <w:top w:val="nil"/>
              <w:left w:val="nil"/>
              <w:bottom w:val="single" w:color="auto" w:sz="4" w:space="0"/>
              <w:right w:val="single" w:color="auto" w:sz="4" w:space="0"/>
            </w:tcBorders>
            <w:vAlign w:val="center"/>
          </w:tcPr>
          <w:p>
            <w:pPr>
              <w:ind w:firstLine="630"/>
              <w:rPr>
                <w:rFonts w:hint="eastAsia" w:ascii="??_GB2312"/>
                <w:sz w:val="32"/>
                <w:szCs w:val="32"/>
                <w:lang w:val="en-US" w:eastAsia="zh-CN"/>
              </w:rPr>
            </w:pPr>
          </w:p>
        </w:tc>
        <w:tc>
          <w:tcPr>
            <w:tcW w:w="5103" w:type="dxa"/>
            <w:tcBorders>
              <w:top w:val="nil"/>
              <w:left w:val="nil"/>
              <w:bottom w:val="single" w:color="auto" w:sz="4" w:space="0"/>
              <w:right w:val="single" w:color="auto" w:sz="4" w:space="0"/>
            </w:tcBorders>
            <w:vAlign w:val="center"/>
          </w:tcPr>
          <w:p>
            <w:pPr>
              <w:ind w:firstLine="630"/>
              <w:rPr>
                <w:rFonts w:hint="eastAsia" w:ascii="??_GB2312"/>
                <w:sz w:val="32"/>
                <w:szCs w:val="32"/>
                <w:lang w:val="en-US" w:eastAsia="zh-CN"/>
              </w:rPr>
            </w:pPr>
            <w:r>
              <w:rPr>
                <w:rFonts w:hint="eastAsia" w:ascii="??_GB2312"/>
                <w:sz w:val="32"/>
                <w:szCs w:val="32"/>
                <w:lang w:val="en-US" w:eastAsia="zh-CN"/>
              </w:rPr>
              <w:t>10995</w:t>
            </w:r>
          </w:p>
        </w:tc>
      </w:tr>
    </w:tbl>
    <w:p>
      <w:pPr>
        <w:ind w:firstLine="630"/>
        <w:rPr>
          <w:rFonts w:hint="eastAsia" w:ascii="??_GB2312"/>
          <w:sz w:val="32"/>
          <w:szCs w:val="32"/>
          <w:lang w:val="en-US" w:eastAsia="zh-CN"/>
        </w:rPr>
      </w:pPr>
    </w:p>
    <w:p>
      <w:pPr>
        <w:ind w:firstLine="964" w:firstLineChars="300"/>
        <w:rPr>
          <w:rFonts w:ascii="??_GB2312" w:eastAsia="Times New Roman"/>
          <w:b/>
          <w:sz w:val="32"/>
          <w:szCs w:val="32"/>
        </w:rPr>
      </w:pPr>
      <w:r>
        <w:rPr>
          <w:rFonts w:hint="eastAsia" w:ascii="??_GB2312"/>
          <w:b/>
          <w:sz w:val="32"/>
          <w:szCs w:val="32"/>
          <w:lang w:eastAsia="zh-CN"/>
        </w:rPr>
        <w:t>八</w:t>
      </w:r>
      <w:r>
        <w:rPr>
          <w:rFonts w:ascii="??_GB2312" w:eastAsia="Times New Roman"/>
          <w:b/>
          <w:sz w:val="32"/>
          <w:szCs w:val="32"/>
        </w:rPr>
        <w:t>、相关专业性较强的名词解释</w:t>
      </w:r>
    </w:p>
    <w:p>
      <w:pPr>
        <w:ind w:firstLine="787" w:firstLineChars="246"/>
        <w:rPr>
          <w:rFonts w:ascii="??_GB2312" w:eastAsia="Times New Roman"/>
          <w:sz w:val="32"/>
          <w:szCs w:val="32"/>
        </w:rPr>
      </w:pPr>
      <w:r>
        <w:rPr>
          <w:rFonts w:ascii="??_GB2312" w:eastAsia="Times New Roman"/>
          <w:sz w:val="32"/>
          <w:szCs w:val="32"/>
        </w:rPr>
        <w:t>（1）财政拨款收入：指中央或省市财政当年拨付的资金，包含一般公共预算财政拨款和政府性</w:t>
      </w:r>
    </w:p>
    <w:p>
      <w:pPr>
        <w:ind w:firstLine="630"/>
        <w:rPr>
          <w:rFonts w:ascii="??_GB2312" w:eastAsia="Times New Roman"/>
          <w:sz w:val="32"/>
          <w:szCs w:val="32"/>
        </w:rPr>
      </w:pPr>
      <w:r>
        <w:rPr>
          <w:rFonts w:ascii="??_GB2312" w:eastAsia="Times New Roman"/>
          <w:sz w:val="32"/>
          <w:szCs w:val="32"/>
        </w:rPr>
        <w:t>基金预算财政拨款。</w:t>
      </w:r>
    </w:p>
    <w:p>
      <w:pPr>
        <w:ind w:firstLine="787" w:firstLineChars="246"/>
        <w:rPr>
          <w:rFonts w:ascii="??_GB2312" w:eastAsia="Times New Roman"/>
          <w:sz w:val="32"/>
          <w:szCs w:val="32"/>
        </w:rPr>
      </w:pPr>
      <w:r>
        <w:rPr>
          <w:rFonts w:ascii="??_GB2312" w:eastAsia="Times New Roman"/>
          <w:sz w:val="32"/>
          <w:szCs w:val="32"/>
        </w:rPr>
        <w:t>（2）上级补助收入：事业单位从主管部门和上级单位取得的非财政补助收入。</w:t>
      </w:r>
    </w:p>
    <w:p>
      <w:pPr>
        <w:ind w:firstLine="787" w:firstLineChars="246"/>
        <w:rPr>
          <w:rFonts w:ascii="??_GB2312" w:eastAsia="Times New Roman"/>
          <w:sz w:val="32"/>
          <w:szCs w:val="32"/>
        </w:rPr>
      </w:pPr>
      <w:r>
        <w:rPr>
          <w:rFonts w:ascii="??_GB2312" w:eastAsia="Times New Roman"/>
          <w:sz w:val="32"/>
          <w:szCs w:val="32"/>
        </w:rPr>
        <w:t>（3）其他收入：指除上述“财政拨款收入”、“事业收入”、“经营收入”等以外的收入。</w:t>
      </w:r>
    </w:p>
    <w:p>
      <w:pPr>
        <w:ind w:firstLine="787" w:firstLineChars="246"/>
        <w:rPr>
          <w:rFonts w:ascii="??_GB2312" w:eastAsia="Times New Roman"/>
          <w:sz w:val="32"/>
          <w:szCs w:val="32"/>
        </w:rPr>
      </w:pPr>
      <w:r>
        <w:rPr>
          <w:rFonts w:ascii="??_GB2312" w:eastAsia="Times New Roman"/>
          <w:sz w:val="32"/>
          <w:szCs w:val="32"/>
        </w:rPr>
        <w:t>（4）基本支出：指为保障机构正常运转、完成日常工作任务而发生的人员支出和公用支出。</w:t>
      </w:r>
    </w:p>
    <w:p>
      <w:pPr>
        <w:ind w:firstLine="787" w:firstLineChars="246"/>
        <w:rPr>
          <w:rFonts w:ascii="??_GB2312" w:eastAsia="Times New Roman"/>
          <w:sz w:val="32"/>
          <w:szCs w:val="32"/>
        </w:rPr>
      </w:pPr>
      <w:r>
        <w:rPr>
          <w:rFonts w:ascii="??_GB2312" w:eastAsia="Times New Roman"/>
          <w:sz w:val="32"/>
          <w:szCs w:val="32"/>
        </w:rPr>
        <w:t>（5）项目支出：指在基本支出之外为完成特定行政任务和事业发展目标所发生的支出。</w:t>
      </w:r>
    </w:p>
    <w:p>
      <w:pPr>
        <w:ind w:firstLine="787" w:firstLineChars="246"/>
        <w:rPr>
          <w:rFonts w:ascii="??_GB2312" w:eastAsia="Times New Roman"/>
          <w:sz w:val="32"/>
          <w:szCs w:val="32"/>
        </w:rPr>
      </w:pPr>
      <w:r>
        <w:rPr>
          <w:rFonts w:ascii="??_GB2312" w:eastAsia="Times New Roman"/>
          <w:sz w:val="32"/>
          <w:szCs w:val="32"/>
        </w:rPr>
        <w:t>（6）“三公”经费：纳入财政预决算管理的“三公”经费，是指单位用财政拨款安排的因公出</w:t>
      </w:r>
    </w:p>
    <w:p>
      <w:pPr>
        <w:ind w:firstLine="630"/>
        <w:rPr>
          <w:rFonts w:ascii="??_GB2312" w:eastAsia="Times New Roman"/>
          <w:sz w:val="32"/>
          <w:szCs w:val="32"/>
        </w:rPr>
      </w:pPr>
      <w:r>
        <w:rPr>
          <w:rFonts w:ascii="??_GB2312" w:eastAsia="Times New Roman"/>
          <w:sz w:val="32"/>
          <w:szCs w:val="32"/>
        </w:rPr>
        <w:t>国（境）费、公务用车购置及运行费和公务接待费。其中，因公出国（境）费反映单位公务出国</w:t>
      </w:r>
    </w:p>
    <w:p>
      <w:pPr>
        <w:ind w:firstLine="630"/>
        <w:rPr>
          <w:rFonts w:ascii="??_GB2312" w:eastAsia="Times New Roman"/>
          <w:sz w:val="32"/>
          <w:szCs w:val="32"/>
        </w:rPr>
      </w:pPr>
      <w:r>
        <w:rPr>
          <w:rFonts w:ascii="??_GB2312" w:eastAsia="Times New Roman"/>
          <w:sz w:val="32"/>
          <w:szCs w:val="32"/>
        </w:rPr>
        <w:t>（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30"/>
        <w:rPr>
          <w:rFonts w:ascii="??_GB2312" w:eastAsia="Times New Roman"/>
          <w:sz w:val="32"/>
          <w:szCs w:val="32"/>
        </w:rPr>
      </w:pPr>
      <w:r>
        <w:rPr>
          <w:rFonts w:ascii="??_GB2312" w:eastAsia="Times New Roman"/>
          <w:sz w:val="32"/>
          <w:szCs w:val="32"/>
        </w:rPr>
        <w:t>（7）机关运行经费：为保障行政单位（含参照公务员法管理的事业单位）运行用于购买货物和服务的各项资金，2017 年度的统计口径为行政机关的日常公用经费，包括办公及印刷费、邮电费、差旅费、会议费、福利费、日常维修费、专用材料及一般设备购置费、办公用房水电费、办公用房取暖费、办公用房物业管理费、公务用车运行维护费以及其他费用。</w:t>
      </w:r>
    </w:p>
    <w:p>
      <w:pPr>
        <w:ind w:firstLine="630"/>
        <w:rPr>
          <w:rFonts w:ascii="??_GB2312" w:eastAsia="Times New Roman"/>
          <w:b/>
          <w:sz w:val="32"/>
          <w:szCs w:val="32"/>
        </w:rPr>
      </w:pPr>
      <w:r>
        <w:rPr>
          <w:rFonts w:hint="eastAsia" w:ascii="??_GB2312"/>
          <w:b/>
          <w:sz w:val="32"/>
          <w:szCs w:val="32"/>
          <w:lang w:eastAsia="zh-CN"/>
        </w:rPr>
        <w:t>九</w:t>
      </w:r>
      <w:r>
        <w:rPr>
          <w:rFonts w:ascii="??_GB2312" w:eastAsia="Times New Roman"/>
          <w:b/>
          <w:sz w:val="32"/>
          <w:szCs w:val="32"/>
        </w:rPr>
        <w:t>、其他需要说明的事项</w:t>
      </w:r>
    </w:p>
    <w:p>
      <w:pPr>
        <w:ind w:firstLine="1280" w:firstLineChars="400"/>
        <w:rPr>
          <w:rFonts w:ascii="??_GB2312" w:eastAsia="Times New Roman"/>
          <w:sz w:val="32"/>
          <w:szCs w:val="32"/>
        </w:rPr>
      </w:pPr>
      <w:r>
        <w:rPr>
          <w:rFonts w:ascii="??_GB2312" w:eastAsia="Times New Roman"/>
          <w:sz w:val="32"/>
          <w:szCs w:val="32"/>
        </w:rPr>
        <w:t>无</w:t>
      </w:r>
    </w:p>
    <w:p>
      <w:pPr>
        <w:ind w:firstLine="630"/>
        <w:rPr>
          <w:rFonts w:ascii="??_GB2312" w:eastAsia="Times New Roman"/>
          <w:sz w:val="32"/>
          <w:szCs w:val="32"/>
        </w:rPr>
      </w:pPr>
      <w:r>
        <w:rPr>
          <w:rFonts w:hint="eastAsia" w:ascii="??_GB2312"/>
          <w:b/>
          <w:sz w:val="32"/>
          <w:szCs w:val="32"/>
          <w:lang w:eastAsia="zh-CN"/>
        </w:rPr>
        <w:t>十、</w:t>
      </w:r>
      <w:r>
        <w:rPr>
          <w:rFonts w:ascii="??_GB2312" w:eastAsia="Times New Roman"/>
          <w:sz w:val="32"/>
          <w:szCs w:val="32"/>
        </w:rPr>
        <w:t>预算批准日为 201</w:t>
      </w:r>
      <w:r>
        <w:rPr>
          <w:rFonts w:hint="eastAsia" w:ascii="??_GB2312"/>
          <w:sz w:val="32"/>
          <w:szCs w:val="32"/>
          <w:lang w:val="en-US" w:eastAsia="zh-CN"/>
        </w:rPr>
        <w:t>9</w:t>
      </w:r>
      <w:r>
        <w:rPr>
          <w:rFonts w:ascii="??_GB2312" w:eastAsia="Times New Roman"/>
          <w:sz w:val="32"/>
          <w:szCs w:val="32"/>
        </w:rPr>
        <w:t>年2 月</w:t>
      </w:r>
      <w:r>
        <w:rPr>
          <w:rFonts w:hint="eastAsia" w:ascii="??_GB2312"/>
          <w:sz w:val="32"/>
          <w:szCs w:val="32"/>
          <w:lang w:val="en-US" w:eastAsia="zh-CN"/>
        </w:rPr>
        <w:t>2</w:t>
      </w:r>
      <w:r>
        <w:rPr>
          <w:rFonts w:ascii="??_GB2312" w:eastAsia="Times New Roman"/>
          <w:sz w:val="32"/>
          <w:szCs w:val="32"/>
        </w:rPr>
        <w:t xml:space="preserve"> 日，批复文件文号：承双财预字（201</w:t>
      </w:r>
      <w:r>
        <w:rPr>
          <w:rFonts w:hint="eastAsia" w:ascii="??_GB2312"/>
          <w:sz w:val="32"/>
          <w:szCs w:val="32"/>
          <w:lang w:val="en-US" w:eastAsia="zh-CN"/>
        </w:rPr>
        <w:t>9</w:t>
      </w:r>
      <w:r>
        <w:rPr>
          <w:rFonts w:ascii="??_GB2312" w:eastAsia="Times New Roman"/>
          <w:sz w:val="32"/>
          <w:szCs w:val="32"/>
        </w:rPr>
        <w:t>）第3号 。</w:t>
      </w:r>
    </w:p>
    <w:p>
      <w:pPr>
        <w:ind w:firstLine="630"/>
        <w:rPr>
          <w:rFonts w:ascii="??_GB2312" w:eastAsia="Times New Roman"/>
          <w:sz w:val="32"/>
          <w:szCs w:val="32"/>
        </w:rPr>
      </w:pPr>
    </w:p>
    <w:p>
      <w:pPr>
        <w:ind w:firstLine="630"/>
        <w:rPr>
          <w:rFonts w:ascii="??_GB2312" w:eastAsia="Times New Roman"/>
          <w:sz w:val="32"/>
          <w:szCs w:val="32"/>
        </w:rPr>
      </w:pPr>
    </w:p>
    <w:p>
      <w:pPr>
        <w:spacing w:line="420" w:lineRule="exact"/>
        <w:ind w:firstLine="640" w:firstLineChars="200"/>
        <w:rPr>
          <w:rFonts w:ascii="??_GB2312" w:eastAsia="Times New Roman"/>
          <w:sz w:val="32"/>
          <w:szCs w:val="32"/>
        </w:rPr>
      </w:pPr>
    </w:p>
    <w:p>
      <w:pPr>
        <w:spacing w:line="560" w:lineRule="exact"/>
        <w:rPr>
          <w:rFonts w:ascii="??_GB2312" w:hAnsi="宋体" w:eastAsia="Times New Roman"/>
          <w:sz w:val="32"/>
        </w:rPr>
      </w:pPr>
    </w:p>
    <w:p/>
    <w:sectPr>
      <w:headerReference r:id="rId11" w:type="first"/>
      <w:footerReference r:id="rId14" w:type="first"/>
      <w:headerReference r:id="rId9" w:type="default"/>
      <w:footerReference r:id="rId12" w:type="default"/>
      <w:headerReference r:id="rId10" w:type="even"/>
      <w:footerReference r:id="rId13" w:type="even"/>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方正仿宋_GBK">
    <w:altName w:val="微软雅黑"/>
    <w:panose1 w:val="00000000000000000000"/>
    <w:charset w:val="86"/>
    <w:family w:val="auto"/>
    <w:pitch w:val="default"/>
    <w:sig w:usb0="00000000" w:usb1="00000000" w:usb2="00000010" w:usb3="00000000" w:csb0="00040000" w:csb1="00000000"/>
  </w:font>
  <w:font w:name="方正小标宋_GBK">
    <w:altName w:val="SimSun-ExtB"/>
    <w:panose1 w:val="00000000000000000000"/>
    <w:charset w:val="86"/>
    <w:family w:val="script"/>
    <w:pitch w:val="default"/>
    <w:sig w:usb0="00000000" w:usb1="00000000" w:usb2="00000010" w:usb3="00000000" w:csb0="00040000" w:csb1="00000000"/>
  </w:font>
  <w:font w:name="方正书宋_GBK">
    <w:altName w:val="SimSun-ExtB"/>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EEFC"/>
    <w:multiLevelType w:val="singleLevel"/>
    <w:tmpl w:val="0304EEFC"/>
    <w:lvl w:ilvl="0" w:tentative="0">
      <w:start w:val="2"/>
      <w:numFmt w:val="chineseCounting"/>
      <w:suff w:val="nothing"/>
      <w:lvlText w:val="%1、"/>
      <w:lvlJc w:val="left"/>
      <w:rPr>
        <w:rFonts w:hint="eastAsia" w:cs="Times New Roman"/>
      </w:rPr>
    </w:lvl>
  </w:abstractNum>
  <w:abstractNum w:abstractNumId="1">
    <w:nsid w:val="19E48036"/>
    <w:multiLevelType w:val="singleLevel"/>
    <w:tmpl w:val="19E48036"/>
    <w:lvl w:ilvl="0" w:tentative="0">
      <w:start w:val="4"/>
      <w:numFmt w:val="decimal"/>
      <w:suff w:val="nothing"/>
      <w:lvlText w:val="%1、"/>
      <w:lvlJc w:val="left"/>
      <w:rPr>
        <w:rFonts w:cs="Times New Roman"/>
      </w:rPr>
    </w:lvl>
  </w:abstractNum>
  <w:abstractNum w:abstractNumId="2">
    <w:nsid w:val="3B4BDE36"/>
    <w:multiLevelType w:val="singleLevel"/>
    <w:tmpl w:val="3B4BDE36"/>
    <w:lvl w:ilvl="0" w:tentative="0">
      <w:start w:val="1"/>
      <w:numFmt w:val="decimal"/>
      <w:suff w:val="nothing"/>
      <w:lvlText w:val="%1、"/>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D0"/>
    <w:rsid w:val="000038FE"/>
    <w:rsid w:val="0000518A"/>
    <w:rsid w:val="000073FB"/>
    <w:rsid w:val="00010CFD"/>
    <w:rsid w:val="0002649A"/>
    <w:rsid w:val="00042EC3"/>
    <w:rsid w:val="00055D0E"/>
    <w:rsid w:val="00081EDF"/>
    <w:rsid w:val="000A5F52"/>
    <w:rsid w:val="000A6A7A"/>
    <w:rsid w:val="000B37FC"/>
    <w:rsid w:val="000C3033"/>
    <w:rsid w:val="000C5459"/>
    <w:rsid w:val="000D6D81"/>
    <w:rsid w:val="000E41CD"/>
    <w:rsid w:val="000F7F82"/>
    <w:rsid w:val="001059FF"/>
    <w:rsid w:val="00111435"/>
    <w:rsid w:val="00122F8C"/>
    <w:rsid w:val="001237A6"/>
    <w:rsid w:val="00147254"/>
    <w:rsid w:val="0016349B"/>
    <w:rsid w:val="00166AE2"/>
    <w:rsid w:val="00167222"/>
    <w:rsid w:val="00183B85"/>
    <w:rsid w:val="0018724E"/>
    <w:rsid w:val="00187707"/>
    <w:rsid w:val="00194C19"/>
    <w:rsid w:val="00196898"/>
    <w:rsid w:val="001A11AE"/>
    <w:rsid w:val="001A1AA0"/>
    <w:rsid w:val="001C0B23"/>
    <w:rsid w:val="001C198E"/>
    <w:rsid w:val="001C5003"/>
    <w:rsid w:val="001C7C56"/>
    <w:rsid w:val="001D026A"/>
    <w:rsid w:val="001D145A"/>
    <w:rsid w:val="001D1473"/>
    <w:rsid w:val="001D1F39"/>
    <w:rsid w:val="001E0965"/>
    <w:rsid w:val="00200D12"/>
    <w:rsid w:val="002100EA"/>
    <w:rsid w:val="0021093D"/>
    <w:rsid w:val="00212609"/>
    <w:rsid w:val="00221DB9"/>
    <w:rsid w:val="0022579E"/>
    <w:rsid w:val="00226538"/>
    <w:rsid w:val="00230085"/>
    <w:rsid w:val="00235117"/>
    <w:rsid w:val="0025282D"/>
    <w:rsid w:val="0025651F"/>
    <w:rsid w:val="00261AB2"/>
    <w:rsid w:val="00265F05"/>
    <w:rsid w:val="0027525D"/>
    <w:rsid w:val="002752F5"/>
    <w:rsid w:val="0028773A"/>
    <w:rsid w:val="002935CE"/>
    <w:rsid w:val="00296DFC"/>
    <w:rsid w:val="00297D46"/>
    <w:rsid w:val="002A41C9"/>
    <w:rsid w:val="002A4695"/>
    <w:rsid w:val="002B5B82"/>
    <w:rsid w:val="002B60C7"/>
    <w:rsid w:val="002B7AB1"/>
    <w:rsid w:val="002C7564"/>
    <w:rsid w:val="002D2DE9"/>
    <w:rsid w:val="002D4BF6"/>
    <w:rsid w:val="002D58D7"/>
    <w:rsid w:val="002E0B10"/>
    <w:rsid w:val="002F664F"/>
    <w:rsid w:val="00312097"/>
    <w:rsid w:val="00312EE1"/>
    <w:rsid w:val="003137B0"/>
    <w:rsid w:val="0032557F"/>
    <w:rsid w:val="003417B6"/>
    <w:rsid w:val="00343CAC"/>
    <w:rsid w:val="00345477"/>
    <w:rsid w:val="00355EC9"/>
    <w:rsid w:val="0035601A"/>
    <w:rsid w:val="003566D2"/>
    <w:rsid w:val="00367E4B"/>
    <w:rsid w:val="00396EF7"/>
    <w:rsid w:val="003A278C"/>
    <w:rsid w:val="003A3A1E"/>
    <w:rsid w:val="003A6184"/>
    <w:rsid w:val="003B0AFD"/>
    <w:rsid w:val="003B3410"/>
    <w:rsid w:val="003B4D01"/>
    <w:rsid w:val="003B7D3C"/>
    <w:rsid w:val="003C75CF"/>
    <w:rsid w:val="003D7738"/>
    <w:rsid w:val="003E5770"/>
    <w:rsid w:val="0042553E"/>
    <w:rsid w:val="00426C4D"/>
    <w:rsid w:val="004443DF"/>
    <w:rsid w:val="004532AC"/>
    <w:rsid w:val="004542E3"/>
    <w:rsid w:val="00454598"/>
    <w:rsid w:val="004557DA"/>
    <w:rsid w:val="00456958"/>
    <w:rsid w:val="00456D84"/>
    <w:rsid w:val="00456ED9"/>
    <w:rsid w:val="004663DA"/>
    <w:rsid w:val="00470302"/>
    <w:rsid w:val="00492E22"/>
    <w:rsid w:val="004937E5"/>
    <w:rsid w:val="00494122"/>
    <w:rsid w:val="004A1D43"/>
    <w:rsid w:val="004B4C77"/>
    <w:rsid w:val="004B52AB"/>
    <w:rsid w:val="004C02A9"/>
    <w:rsid w:val="004C3303"/>
    <w:rsid w:val="004D116E"/>
    <w:rsid w:val="004F1128"/>
    <w:rsid w:val="004F2681"/>
    <w:rsid w:val="004F6F36"/>
    <w:rsid w:val="00500A8A"/>
    <w:rsid w:val="005013EF"/>
    <w:rsid w:val="00504481"/>
    <w:rsid w:val="0051118F"/>
    <w:rsid w:val="005203D5"/>
    <w:rsid w:val="00522628"/>
    <w:rsid w:val="00533DD8"/>
    <w:rsid w:val="00540A47"/>
    <w:rsid w:val="005423CF"/>
    <w:rsid w:val="005438B8"/>
    <w:rsid w:val="00551566"/>
    <w:rsid w:val="00561C37"/>
    <w:rsid w:val="00567428"/>
    <w:rsid w:val="005724ED"/>
    <w:rsid w:val="0058466B"/>
    <w:rsid w:val="00584D99"/>
    <w:rsid w:val="00585377"/>
    <w:rsid w:val="0059210E"/>
    <w:rsid w:val="005A1753"/>
    <w:rsid w:val="005B0FC7"/>
    <w:rsid w:val="005B1750"/>
    <w:rsid w:val="005B3B15"/>
    <w:rsid w:val="005C0984"/>
    <w:rsid w:val="005E25A6"/>
    <w:rsid w:val="005E5166"/>
    <w:rsid w:val="005F767A"/>
    <w:rsid w:val="005F7EDE"/>
    <w:rsid w:val="006009DF"/>
    <w:rsid w:val="006027BD"/>
    <w:rsid w:val="00603F3D"/>
    <w:rsid w:val="0060499A"/>
    <w:rsid w:val="00604DD1"/>
    <w:rsid w:val="006130A4"/>
    <w:rsid w:val="00631363"/>
    <w:rsid w:val="00635148"/>
    <w:rsid w:val="006370BD"/>
    <w:rsid w:val="00644171"/>
    <w:rsid w:val="0064458B"/>
    <w:rsid w:val="00650EE0"/>
    <w:rsid w:val="006722AF"/>
    <w:rsid w:val="0067337E"/>
    <w:rsid w:val="006741C7"/>
    <w:rsid w:val="00674603"/>
    <w:rsid w:val="00674EB4"/>
    <w:rsid w:val="00692DDC"/>
    <w:rsid w:val="00692F0E"/>
    <w:rsid w:val="006A4621"/>
    <w:rsid w:val="006A72E7"/>
    <w:rsid w:val="006C0CD9"/>
    <w:rsid w:val="006C44B4"/>
    <w:rsid w:val="006C75D2"/>
    <w:rsid w:val="006D066D"/>
    <w:rsid w:val="006D0E37"/>
    <w:rsid w:val="006D495B"/>
    <w:rsid w:val="006D5067"/>
    <w:rsid w:val="006D7083"/>
    <w:rsid w:val="006E5086"/>
    <w:rsid w:val="006E55AB"/>
    <w:rsid w:val="006E69FE"/>
    <w:rsid w:val="006F38AB"/>
    <w:rsid w:val="006F6C4C"/>
    <w:rsid w:val="00702593"/>
    <w:rsid w:val="007058F0"/>
    <w:rsid w:val="00711923"/>
    <w:rsid w:val="00715ED8"/>
    <w:rsid w:val="007221F5"/>
    <w:rsid w:val="00725490"/>
    <w:rsid w:val="007309B4"/>
    <w:rsid w:val="00731241"/>
    <w:rsid w:val="0073787B"/>
    <w:rsid w:val="007400B1"/>
    <w:rsid w:val="00743D31"/>
    <w:rsid w:val="00765CD7"/>
    <w:rsid w:val="00775BF7"/>
    <w:rsid w:val="00780FD3"/>
    <w:rsid w:val="007A06E3"/>
    <w:rsid w:val="007B383D"/>
    <w:rsid w:val="007B677D"/>
    <w:rsid w:val="007C678F"/>
    <w:rsid w:val="007C6BBA"/>
    <w:rsid w:val="007D0248"/>
    <w:rsid w:val="007D1825"/>
    <w:rsid w:val="007D1E12"/>
    <w:rsid w:val="007E3EBA"/>
    <w:rsid w:val="00800688"/>
    <w:rsid w:val="00806F30"/>
    <w:rsid w:val="00815120"/>
    <w:rsid w:val="0081542E"/>
    <w:rsid w:val="00817947"/>
    <w:rsid w:val="00822C33"/>
    <w:rsid w:val="00827129"/>
    <w:rsid w:val="00832CC7"/>
    <w:rsid w:val="00832FDF"/>
    <w:rsid w:val="008350AE"/>
    <w:rsid w:val="00861924"/>
    <w:rsid w:val="00863BEA"/>
    <w:rsid w:val="008646BB"/>
    <w:rsid w:val="008654FF"/>
    <w:rsid w:val="00867B75"/>
    <w:rsid w:val="00881C1A"/>
    <w:rsid w:val="00887516"/>
    <w:rsid w:val="00887E4B"/>
    <w:rsid w:val="00892ED2"/>
    <w:rsid w:val="008A7CE3"/>
    <w:rsid w:val="008B0BF7"/>
    <w:rsid w:val="008B3E2A"/>
    <w:rsid w:val="008B7F2E"/>
    <w:rsid w:val="008D2FF4"/>
    <w:rsid w:val="008D7C72"/>
    <w:rsid w:val="008E12F7"/>
    <w:rsid w:val="008E1852"/>
    <w:rsid w:val="008E68A1"/>
    <w:rsid w:val="008F62D3"/>
    <w:rsid w:val="0090316A"/>
    <w:rsid w:val="009167B6"/>
    <w:rsid w:val="00931DC4"/>
    <w:rsid w:val="009346DF"/>
    <w:rsid w:val="00944B09"/>
    <w:rsid w:val="00945033"/>
    <w:rsid w:val="00953AB9"/>
    <w:rsid w:val="009551F1"/>
    <w:rsid w:val="00956060"/>
    <w:rsid w:val="009576FD"/>
    <w:rsid w:val="0096031A"/>
    <w:rsid w:val="00963613"/>
    <w:rsid w:val="00963C38"/>
    <w:rsid w:val="009726B2"/>
    <w:rsid w:val="00973D47"/>
    <w:rsid w:val="0097798C"/>
    <w:rsid w:val="0098115F"/>
    <w:rsid w:val="009915CB"/>
    <w:rsid w:val="009A3059"/>
    <w:rsid w:val="009A5FA2"/>
    <w:rsid w:val="009B1E1D"/>
    <w:rsid w:val="009B337A"/>
    <w:rsid w:val="009B4220"/>
    <w:rsid w:val="009C1EBB"/>
    <w:rsid w:val="009E08A4"/>
    <w:rsid w:val="009E4FFC"/>
    <w:rsid w:val="009F04F2"/>
    <w:rsid w:val="009F5814"/>
    <w:rsid w:val="00A02320"/>
    <w:rsid w:val="00A25540"/>
    <w:rsid w:val="00A25561"/>
    <w:rsid w:val="00A30E0C"/>
    <w:rsid w:val="00A32F0F"/>
    <w:rsid w:val="00A33A3B"/>
    <w:rsid w:val="00A342E2"/>
    <w:rsid w:val="00A504DA"/>
    <w:rsid w:val="00A51D53"/>
    <w:rsid w:val="00A53A06"/>
    <w:rsid w:val="00A56832"/>
    <w:rsid w:val="00A64397"/>
    <w:rsid w:val="00A73D54"/>
    <w:rsid w:val="00A818A5"/>
    <w:rsid w:val="00A87DC5"/>
    <w:rsid w:val="00A9179F"/>
    <w:rsid w:val="00A92229"/>
    <w:rsid w:val="00AA7B6D"/>
    <w:rsid w:val="00AA7FBC"/>
    <w:rsid w:val="00AB0C0D"/>
    <w:rsid w:val="00AC432B"/>
    <w:rsid w:val="00AC7296"/>
    <w:rsid w:val="00AE0092"/>
    <w:rsid w:val="00AE1AF8"/>
    <w:rsid w:val="00B0095B"/>
    <w:rsid w:val="00B00AB0"/>
    <w:rsid w:val="00B24D0B"/>
    <w:rsid w:val="00B60AEC"/>
    <w:rsid w:val="00B73CBB"/>
    <w:rsid w:val="00B7680C"/>
    <w:rsid w:val="00B931DB"/>
    <w:rsid w:val="00B9438E"/>
    <w:rsid w:val="00B94E74"/>
    <w:rsid w:val="00B957FC"/>
    <w:rsid w:val="00B96F76"/>
    <w:rsid w:val="00B9764E"/>
    <w:rsid w:val="00BA227D"/>
    <w:rsid w:val="00BB2036"/>
    <w:rsid w:val="00BB2921"/>
    <w:rsid w:val="00BC0FDC"/>
    <w:rsid w:val="00BC188C"/>
    <w:rsid w:val="00BC62EB"/>
    <w:rsid w:val="00BD03C0"/>
    <w:rsid w:val="00BE24B2"/>
    <w:rsid w:val="00BE4199"/>
    <w:rsid w:val="00BE7C33"/>
    <w:rsid w:val="00C209F9"/>
    <w:rsid w:val="00C51A3A"/>
    <w:rsid w:val="00C56127"/>
    <w:rsid w:val="00C56273"/>
    <w:rsid w:val="00C56C8E"/>
    <w:rsid w:val="00C66C0C"/>
    <w:rsid w:val="00C71031"/>
    <w:rsid w:val="00C75DA5"/>
    <w:rsid w:val="00C76197"/>
    <w:rsid w:val="00C775B3"/>
    <w:rsid w:val="00C77A63"/>
    <w:rsid w:val="00C8022C"/>
    <w:rsid w:val="00C80C43"/>
    <w:rsid w:val="00C81E75"/>
    <w:rsid w:val="00C84AFF"/>
    <w:rsid w:val="00C865C6"/>
    <w:rsid w:val="00C87772"/>
    <w:rsid w:val="00C94990"/>
    <w:rsid w:val="00CC2F84"/>
    <w:rsid w:val="00CF37CA"/>
    <w:rsid w:val="00CF4635"/>
    <w:rsid w:val="00D00F3B"/>
    <w:rsid w:val="00D03D5A"/>
    <w:rsid w:val="00D14518"/>
    <w:rsid w:val="00D17F4E"/>
    <w:rsid w:val="00D22780"/>
    <w:rsid w:val="00D254D6"/>
    <w:rsid w:val="00D27774"/>
    <w:rsid w:val="00D37C0E"/>
    <w:rsid w:val="00D419A8"/>
    <w:rsid w:val="00D41FE9"/>
    <w:rsid w:val="00D546ED"/>
    <w:rsid w:val="00D57343"/>
    <w:rsid w:val="00D670FF"/>
    <w:rsid w:val="00D705BF"/>
    <w:rsid w:val="00D73C4C"/>
    <w:rsid w:val="00D74D8F"/>
    <w:rsid w:val="00D81636"/>
    <w:rsid w:val="00D84A9A"/>
    <w:rsid w:val="00D9472C"/>
    <w:rsid w:val="00DA7BBD"/>
    <w:rsid w:val="00DB0E40"/>
    <w:rsid w:val="00DB3CFE"/>
    <w:rsid w:val="00DD2760"/>
    <w:rsid w:val="00DD4DAC"/>
    <w:rsid w:val="00DD65E8"/>
    <w:rsid w:val="00DE1FE9"/>
    <w:rsid w:val="00DF30BE"/>
    <w:rsid w:val="00E00402"/>
    <w:rsid w:val="00E00BE1"/>
    <w:rsid w:val="00E06054"/>
    <w:rsid w:val="00E16736"/>
    <w:rsid w:val="00E20886"/>
    <w:rsid w:val="00E23529"/>
    <w:rsid w:val="00E23CA0"/>
    <w:rsid w:val="00E574FD"/>
    <w:rsid w:val="00E61339"/>
    <w:rsid w:val="00E61BC7"/>
    <w:rsid w:val="00E65FA9"/>
    <w:rsid w:val="00E6715D"/>
    <w:rsid w:val="00E72C60"/>
    <w:rsid w:val="00E80DA9"/>
    <w:rsid w:val="00E821E4"/>
    <w:rsid w:val="00E83E9E"/>
    <w:rsid w:val="00E84564"/>
    <w:rsid w:val="00EC1867"/>
    <w:rsid w:val="00ED7DB0"/>
    <w:rsid w:val="00EE23FE"/>
    <w:rsid w:val="00EE786D"/>
    <w:rsid w:val="00F01072"/>
    <w:rsid w:val="00F03B09"/>
    <w:rsid w:val="00F063FD"/>
    <w:rsid w:val="00F103F4"/>
    <w:rsid w:val="00F173BB"/>
    <w:rsid w:val="00F40ADD"/>
    <w:rsid w:val="00F432AE"/>
    <w:rsid w:val="00F524DE"/>
    <w:rsid w:val="00F548AE"/>
    <w:rsid w:val="00F61317"/>
    <w:rsid w:val="00F74A0B"/>
    <w:rsid w:val="00F77C24"/>
    <w:rsid w:val="00F84650"/>
    <w:rsid w:val="00F848E3"/>
    <w:rsid w:val="00FA2382"/>
    <w:rsid w:val="00FA2CA5"/>
    <w:rsid w:val="00FB76FE"/>
    <w:rsid w:val="00FC6953"/>
    <w:rsid w:val="00FD4CCC"/>
    <w:rsid w:val="00FE1BBC"/>
    <w:rsid w:val="00FE4C7D"/>
    <w:rsid w:val="00FF71D0"/>
    <w:rsid w:val="01043D9A"/>
    <w:rsid w:val="012278A4"/>
    <w:rsid w:val="051D6003"/>
    <w:rsid w:val="06107331"/>
    <w:rsid w:val="07450FEB"/>
    <w:rsid w:val="09480A70"/>
    <w:rsid w:val="0AD05C54"/>
    <w:rsid w:val="117B6DDF"/>
    <w:rsid w:val="147306A4"/>
    <w:rsid w:val="1B6C34DF"/>
    <w:rsid w:val="1BCA43D7"/>
    <w:rsid w:val="1C2E7DCE"/>
    <w:rsid w:val="1E1F5685"/>
    <w:rsid w:val="1E8C6D50"/>
    <w:rsid w:val="21764D28"/>
    <w:rsid w:val="22FA727B"/>
    <w:rsid w:val="237F659D"/>
    <w:rsid w:val="244C581B"/>
    <w:rsid w:val="246E1E48"/>
    <w:rsid w:val="28877EA5"/>
    <w:rsid w:val="29E553A7"/>
    <w:rsid w:val="29F4303F"/>
    <w:rsid w:val="2B236D77"/>
    <w:rsid w:val="2B970ECC"/>
    <w:rsid w:val="2DAA6E14"/>
    <w:rsid w:val="3242307E"/>
    <w:rsid w:val="354E0B94"/>
    <w:rsid w:val="35CB0231"/>
    <w:rsid w:val="392E4D14"/>
    <w:rsid w:val="3B9545EC"/>
    <w:rsid w:val="3F526017"/>
    <w:rsid w:val="3FD945AB"/>
    <w:rsid w:val="41A60D23"/>
    <w:rsid w:val="41FF15F6"/>
    <w:rsid w:val="42931ACE"/>
    <w:rsid w:val="42B111CE"/>
    <w:rsid w:val="430A64EF"/>
    <w:rsid w:val="45E51220"/>
    <w:rsid w:val="477F0792"/>
    <w:rsid w:val="4A2663AC"/>
    <w:rsid w:val="4B731D14"/>
    <w:rsid w:val="4EF75A58"/>
    <w:rsid w:val="4FE26887"/>
    <w:rsid w:val="517B5603"/>
    <w:rsid w:val="52D242A4"/>
    <w:rsid w:val="56376561"/>
    <w:rsid w:val="56972F9D"/>
    <w:rsid w:val="56C74B74"/>
    <w:rsid w:val="5A3730F4"/>
    <w:rsid w:val="5D252988"/>
    <w:rsid w:val="5E665EDC"/>
    <w:rsid w:val="5ECD0771"/>
    <w:rsid w:val="5FD91EF8"/>
    <w:rsid w:val="63DE698E"/>
    <w:rsid w:val="675C3446"/>
    <w:rsid w:val="675D1065"/>
    <w:rsid w:val="69CD1579"/>
    <w:rsid w:val="724F06AF"/>
    <w:rsid w:val="7C685413"/>
    <w:rsid w:val="7C9B5303"/>
    <w:rsid w:val="7F9F73E9"/>
    <w:rsid w:val="7FE71CB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8"/>
    <w:qFormat/>
    <w:uiPriority w:val="99"/>
    <w:pPr>
      <w:ind w:firstLine="600"/>
    </w:pPr>
    <w:rPr>
      <w:rFonts w:ascii="楷体_GB2312" w:eastAsia="楷体_GB2312"/>
      <w:sz w:val="30"/>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Body Text Indent Char"/>
    <w:basedOn w:val="5"/>
    <w:link w:val="2"/>
    <w:qFormat/>
    <w:locked/>
    <w:uiPriority w:val="99"/>
    <w:rPr>
      <w:rFonts w:ascii="楷体_GB2312" w:hAnsi="Times New Roman" w:eastAsia="楷体_GB2312" w:cs="Times New Roman"/>
      <w:kern w:val="2"/>
      <w:sz w:val="30"/>
    </w:rPr>
  </w:style>
  <w:style w:type="character" w:customStyle="1" w:styleId="9">
    <w:name w:val="Footer Char"/>
    <w:basedOn w:val="5"/>
    <w:link w:val="3"/>
    <w:semiHidden/>
    <w:qFormat/>
    <w:locked/>
    <w:uiPriority w:val="99"/>
    <w:rPr>
      <w:rFonts w:ascii="Times New Roman" w:hAnsi="Times New Roman" w:eastAsia="宋体" w:cs="Times New Roman"/>
      <w:sz w:val="18"/>
      <w:szCs w:val="18"/>
    </w:rPr>
  </w:style>
  <w:style w:type="character" w:customStyle="1" w:styleId="10">
    <w:name w:val="Header Char"/>
    <w:basedOn w:val="5"/>
    <w:link w:val="4"/>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12</Pages>
  <Words>678</Words>
  <Characters>3865</Characters>
  <Lines>0</Lines>
  <Paragraphs>0</Paragraphs>
  <TotalTime>26</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2018-08-13T09:22:00Z</dcterms:created>
  <dc:creator>微软用户</dc:creator>
  <cp:lastModifiedBy>Administrator</cp:lastModifiedBy>
  <dcterms:modified xsi:type="dcterms:W3CDTF">2019-02-20T07:12:47Z</dcterms:modified>
  <dc:title>中共双桥区委党校</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