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right"/>
        <w:rPr>
          <w:rFonts w:ascii="宋体" w:hAnsi="宋体" w:eastAsia="宋体"/>
          <w:b/>
          <w:sz w:val="44"/>
          <w:szCs w:val="44"/>
        </w:rPr>
      </w:pPr>
      <w:r>
        <w:rPr>
          <w:rFonts w:ascii="宋体" w:hAnsi="宋体" w:eastAsia="宋体"/>
          <w:b/>
          <w:sz w:val="44"/>
          <w:szCs w:val="44"/>
        </w:rPr>
        <w:t>信息公开说明目录</w:t>
      </w:r>
    </w:p>
    <w:p>
      <w:pPr>
        <w:spacing w:line="200" w:lineRule="exact"/>
        <w:rPr>
          <w:rFonts w:ascii="Times New Roman" w:hAnsi="Times New Roman" w:eastAsia="Times New Roman"/>
          <w:sz w:val="24"/>
        </w:rPr>
      </w:pPr>
    </w:p>
    <w:p>
      <w:pPr>
        <w:spacing w:line="258" w:lineRule="exact"/>
        <w:rPr>
          <w:rFonts w:ascii="Times New Roman" w:hAnsi="Times New Roman" w:eastAsia="Times New Roman"/>
          <w:sz w:val="24"/>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1、三公经费预算情况说明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2、举借债务情况说明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3、财政转移支付情况说明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4、绩效预算情况说明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5、政府采购情况说明</w:t>
      </w:r>
    </w:p>
    <w:p>
      <w:pPr>
        <w:rPr>
          <w:rFonts w:asciiTheme="majorEastAsia" w:hAnsiTheme="majorEastAsia" w:eastAsiaTheme="majorEastAsia" w:cstheme="majorEastAsia"/>
          <w:sz w:val="32"/>
        </w:rPr>
      </w:pPr>
    </w:p>
    <w:p>
      <w:pPr>
        <w:numPr>
          <w:ilvl w:val="0"/>
          <w:numId w:val="1"/>
        </w:num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专业名词解释</w:t>
      </w:r>
    </w:p>
    <w:p>
      <w:pPr>
        <w:rPr>
          <w:rFonts w:asciiTheme="majorEastAsia" w:hAnsiTheme="majorEastAsia" w:eastAsiaTheme="majorEastAsia" w:cstheme="majorEastAsia"/>
          <w:sz w:val="32"/>
        </w:rPr>
      </w:pPr>
    </w:p>
    <w:p>
      <w:pPr>
        <w:numPr>
          <w:ilvl w:val="0"/>
          <w:numId w:val="1"/>
        </w:num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2019年财政收支统计情况说明</w:t>
      </w:r>
    </w:p>
    <w:p>
      <w:pPr>
        <w:rPr>
          <w:rFonts w:asciiTheme="majorEastAsia" w:hAnsiTheme="majorEastAsia" w:eastAsiaTheme="majorEastAsia" w:cstheme="majorEastAsia"/>
          <w:sz w:val="32"/>
        </w:rPr>
      </w:pPr>
    </w:p>
    <w:p>
      <w:pPr>
        <w:rPr>
          <w:rFonts w:asciiTheme="majorEastAsia" w:hAnsiTheme="majorEastAsia" w:eastAsiaTheme="majorEastAsia" w:cstheme="majorEastAsia"/>
          <w:sz w:val="32"/>
        </w:rPr>
      </w:pPr>
      <w:r>
        <w:rPr>
          <w:rFonts w:hint="eastAsia" w:asciiTheme="majorEastAsia" w:hAnsiTheme="majorEastAsia" w:eastAsiaTheme="majorEastAsia" w:cstheme="majorEastAsia"/>
          <w:sz w:val="32"/>
        </w:rPr>
        <w:t>8、2019年预算草案及文本</w:t>
      </w:r>
    </w:p>
    <w:p>
      <w:pPr>
        <w:rPr>
          <w:rFonts w:asciiTheme="majorEastAsia" w:hAnsiTheme="majorEastAsia" w:eastAsiaTheme="majorEastAsia" w:cstheme="majorEastAsia"/>
          <w:sz w:val="32"/>
        </w:rPr>
        <w:sectPr>
          <w:pgSz w:w="11900" w:h="16838"/>
          <w:pgMar w:top="1440" w:right="4180" w:bottom="755" w:left="1800" w:header="0" w:footer="0" w:gutter="0"/>
          <w:cols w:equalWidth="0" w:num="1">
            <w:col w:w="5920"/>
          </w:cols>
          <w:docGrid w:linePitch="360" w:charSpace="0"/>
        </w:sect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2019年双桥区三公经费情况说明</w:t>
      </w:r>
    </w:p>
    <w:p/>
    <w:p>
      <w:pPr>
        <w:rPr>
          <w:sz w:val="30"/>
          <w:szCs w:val="30"/>
        </w:rPr>
      </w:pPr>
    </w:p>
    <w:p>
      <w:pPr>
        <w:ind w:firstLine="320" w:firstLineChars="100"/>
        <w:rPr>
          <w:rFonts w:ascii="仿宋" w:hAnsi="仿宋" w:eastAsia="仿宋" w:cs="仿宋"/>
          <w:sz w:val="32"/>
          <w:szCs w:val="32"/>
        </w:rPr>
      </w:pPr>
      <w:r>
        <w:rPr>
          <w:rFonts w:hint="eastAsia" w:ascii="仿宋" w:hAnsi="仿宋" w:eastAsia="仿宋" w:cs="仿宋"/>
          <w:sz w:val="32"/>
          <w:szCs w:val="32"/>
        </w:rPr>
        <w:t xml:space="preserve"> 2019年双桥区三公经费预算支出980万，相比2018年预算增支54万元。（一）因公出国（境）预算支出0万元。（二）公务用车购置运行及维护费预算支出625万元,全部为车辆运行费，与上年持平。（三）公务接待费预算支出355万元，较上年增支55万元，主要因为我区今年经迎接省巡视组巡察，支出以实际支出为准。</w:t>
      </w:r>
    </w:p>
    <w:p>
      <w:pPr>
        <w:rPr>
          <w:rFonts w:ascii="仿宋" w:hAnsi="仿宋" w:eastAsia="仿宋" w:cs="仿宋"/>
          <w:sz w:val="32"/>
          <w:szCs w:val="32"/>
        </w:rPr>
      </w:pPr>
    </w:p>
    <w:p>
      <w:pPr>
        <w:ind w:firstLine="600"/>
        <w:rPr>
          <w:rFonts w:ascii="仿宋" w:hAnsi="仿宋" w:eastAsia="仿宋" w:cs="仿宋"/>
          <w:sz w:val="32"/>
          <w:szCs w:val="32"/>
        </w:rPr>
      </w:pPr>
    </w:p>
    <w:p>
      <w:pPr>
        <w:ind w:firstLine="600"/>
        <w:rPr>
          <w:rFonts w:ascii="仿宋" w:hAnsi="仿宋" w:eastAsia="仿宋" w:cs="仿宋"/>
          <w:sz w:val="32"/>
          <w:szCs w:val="32"/>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双桥区2019年举借债务情况说明</w:t>
      </w:r>
    </w:p>
    <w:p>
      <w:pPr>
        <w:ind w:firstLine="600" w:firstLineChars="200"/>
        <w:rPr>
          <w:sz w:val="30"/>
          <w:szCs w:val="30"/>
        </w:rPr>
      </w:pPr>
    </w:p>
    <w:p>
      <w:pPr>
        <w:ind w:firstLine="640" w:firstLineChars="200"/>
        <w:rPr>
          <w:rFonts w:ascii="仿宋" w:hAnsi="仿宋" w:eastAsia="仿宋" w:cs="仿宋"/>
          <w:sz w:val="32"/>
          <w:szCs w:val="32"/>
        </w:rPr>
      </w:pPr>
      <w:r>
        <w:rPr>
          <w:rFonts w:hint="eastAsia" w:ascii="仿宋" w:hAnsi="仿宋" w:eastAsia="仿宋" w:cs="仿宋"/>
          <w:sz w:val="32"/>
          <w:szCs w:val="32"/>
        </w:rPr>
        <w:t>双桥区2017年末政府债务余额90.22亿元，其中一般债务83.47亿元，专项债务6.75亿元。</w:t>
      </w:r>
    </w:p>
    <w:p>
      <w:pPr>
        <w:ind w:firstLine="640" w:firstLineChars="200"/>
        <w:rPr>
          <w:rFonts w:ascii="仿宋" w:hAnsi="仿宋" w:eastAsia="仿宋" w:cs="仿宋"/>
          <w:sz w:val="32"/>
          <w:szCs w:val="32"/>
        </w:rPr>
      </w:pPr>
      <w:r>
        <w:rPr>
          <w:rFonts w:hint="eastAsia" w:ascii="仿宋" w:hAnsi="仿宋" w:eastAsia="仿宋" w:cs="仿宋"/>
          <w:sz w:val="32"/>
          <w:szCs w:val="32"/>
        </w:rPr>
        <w:t>2018年末政府债限额97.75亿元，其中一般债务限额87.9亿元，专项债务限额9.85亿元。</w:t>
      </w:r>
    </w:p>
    <w:p>
      <w:pPr>
        <w:ind w:firstLine="640" w:firstLineChars="200"/>
        <w:rPr>
          <w:rFonts w:ascii="仿宋" w:hAnsi="仿宋" w:eastAsia="仿宋" w:cs="仿宋"/>
          <w:sz w:val="32"/>
          <w:szCs w:val="32"/>
        </w:rPr>
      </w:pPr>
      <w:r>
        <w:rPr>
          <w:rFonts w:hint="eastAsia" w:ascii="仿宋" w:hAnsi="仿宋" w:eastAsia="仿宋" w:cs="仿宋"/>
          <w:sz w:val="32"/>
          <w:szCs w:val="32"/>
        </w:rPr>
        <w:t>2018年全年发行一般置换债券3.99亿元,专项置换债券0.6亿元，新增土储专项债券3亿元。</w:t>
      </w:r>
    </w:p>
    <w:p>
      <w:pPr>
        <w:ind w:firstLine="640" w:firstLineChars="200"/>
        <w:rPr>
          <w:rFonts w:ascii="仿宋" w:hAnsi="仿宋" w:eastAsia="仿宋" w:cs="仿宋"/>
          <w:sz w:val="32"/>
          <w:szCs w:val="32"/>
        </w:rPr>
      </w:pPr>
      <w:r>
        <w:rPr>
          <w:rFonts w:hint="eastAsia" w:ascii="仿宋" w:hAnsi="仿宋" w:eastAsia="仿宋" w:cs="仿宋"/>
          <w:sz w:val="32"/>
          <w:szCs w:val="32"/>
        </w:rPr>
        <w:t>2018年双桥区共偿还债务本金4.18亿元，其中发行政府债券偿还4.1亿元，财政资金偿还0.07亿元，其他方式核销0.01亿元。</w:t>
      </w: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880" w:firstLineChars="200"/>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2019年双桥区转移支付情况说明</w:t>
      </w:r>
    </w:p>
    <w:p>
      <w:pPr>
        <w:rPr>
          <w:sz w:val="44"/>
          <w:szCs w:val="44"/>
        </w:rPr>
      </w:pPr>
    </w:p>
    <w:p>
      <w:pPr>
        <w:ind w:firstLine="645"/>
        <w:rPr>
          <w:rFonts w:ascii="仿宋" w:hAnsi="仿宋" w:eastAsia="仿宋"/>
          <w:sz w:val="32"/>
          <w:szCs w:val="32"/>
        </w:rPr>
      </w:pPr>
      <w:r>
        <w:rPr>
          <w:rFonts w:hint="eastAsia" w:ascii="仿宋" w:hAnsi="仿宋" w:eastAsia="仿宋"/>
          <w:sz w:val="32"/>
          <w:szCs w:val="32"/>
        </w:rPr>
        <w:t>2019年我区预算安排中，安排上年一般公共预算结转转移支付资金28005万元；安排提前下达转移支付资金9787万元。安排政府性基金转移支付收入243000万元，安排政府性基金转移支付支出243000万元。</w:t>
      </w:r>
    </w:p>
    <w:p>
      <w:pPr>
        <w:ind w:firstLine="645"/>
        <w:rPr>
          <w:rFonts w:ascii="仿宋" w:hAnsi="仿宋" w:eastAsia="仿宋"/>
          <w:sz w:val="32"/>
          <w:szCs w:val="32"/>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pStyle w:val="6"/>
        <w:spacing w:line="432" w:lineRule="auto"/>
        <w:jc w:val="center"/>
        <w:rPr>
          <w:rFonts w:ascii="Arial" w:hAnsi="Arial" w:cs="Arial"/>
          <w:sz w:val="44"/>
          <w:szCs w:val="44"/>
        </w:rPr>
      </w:pPr>
      <w:r>
        <w:rPr>
          <w:rFonts w:hint="eastAsia" w:ascii="Arial" w:hAnsi="Arial" w:cs="Arial"/>
          <w:sz w:val="44"/>
          <w:szCs w:val="44"/>
        </w:rPr>
        <w:t>双桥区财政局绩效评价工作情况说明</w:t>
      </w:r>
    </w:p>
    <w:p>
      <w:pPr>
        <w:pStyle w:val="6"/>
        <w:spacing w:line="432" w:lineRule="auto"/>
        <w:ind w:firstLine="800" w:firstLineChars="250"/>
        <w:rPr>
          <w:rFonts w:ascii="Arial" w:hAnsi="Arial" w:eastAsia="仿宋" w:cs="Arial"/>
          <w:sz w:val="32"/>
        </w:rPr>
      </w:pPr>
      <w:r>
        <w:rPr>
          <w:rFonts w:hint="eastAsia" w:ascii="Arial" w:hAnsi="Arial" w:eastAsia="仿宋" w:cs="Arial"/>
          <w:sz w:val="32"/>
        </w:rPr>
        <w:t>2018年双桥区财政局</w:t>
      </w:r>
      <w:r>
        <w:rPr>
          <w:rFonts w:ascii="Arial" w:hAnsi="Arial" w:eastAsia="仿宋" w:cs="Arial"/>
          <w:sz w:val="32"/>
        </w:rPr>
        <w:t>颁布实施了《财政支出绩效评价管理办法》，今后财政支出不仅需要公开透明，还要实现支出的效果，注重支出的经济性、效率性和效益性。如果某项财政支出达不到绩效目标或绩效评价结果较差的，可能根据情况调整或调减预算，甚至取消该项财政支出。</w:t>
      </w:r>
    </w:p>
    <w:p>
      <w:pPr>
        <w:pStyle w:val="6"/>
        <w:spacing w:line="432" w:lineRule="auto"/>
        <w:ind w:firstLine="800" w:firstLineChars="250"/>
        <w:rPr>
          <w:rFonts w:ascii="Arial" w:hAnsi="Arial" w:eastAsia="仿宋" w:cs="Arial"/>
          <w:sz w:val="32"/>
        </w:rPr>
      </w:pPr>
      <w:r>
        <w:rPr>
          <w:rFonts w:ascii="Arial" w:hAnsi="Arial" w:eastAsia="仿宋" w:cs="Arial"/>
          <w:sz w:val="32"/>
        </w:rPr>
        <w:t>评价对象：有明显社会经济影响项目。根据《办法》，绩效评价的对象是各预算单位主管部门管理的预算资金。绩效评价以项目支出为重点，重点评价财政预算安排金额达到</w:t>
      </w:r>
      <w:r>
        <w:rPr>
          <w:rFonts w:hint="eastAsia" w:ascii="Arial" w:hAnsi="Arial" w:eastAsia="仿宋" w:cs="Arial"/>
          <w:sz w:val="32"/>
        </w:rPr>
        <w:t>50</w:t>
      </w:r>
      <w:r>
        <w:rPr>
          <w:rFonts w:ascii="Arial" w:hAnsi="Arial" w:eastAsia="仿宋" w:cs="Arial"/>
          <w:sz w:val="32"/>
        </w:rPr>
        <w:t>万元以上、与本部门职能密切相关、具有明显社会影响和经济影响的项目。为使绩效评价客观公正，财政部门和各预算单位主管部门可以根据需要委托专家、中介机构等第三方实施绩效评价。绩效评价内容包括：1、绩效目标与全</w:t>
      </w:r>
      <w:r>
        <w:rPr>
          <w:rFonts w:hint="eastAsia" w:ascii="Arial" w:hAnsi="Arial" w:eastAsia="仿宋" w:cs="Arial"/>
          <w:sz w:val="32"/>
        </w:rPr>
        <w:t>区</w:t>
      </w:r>
      <w:r>
        <w:rPr>
          <w:rFonts w:ascii="Arial" w:hAnsi="Arial" w:eastAsia="仿宋" w:cs="Arial"/>
          <w:sz w:val="32"/>
        </w:rPr>
        <w:t>及本部门发展规划的适应性；2、财政资金投入和使用情况、财务管理状况和资产配置、使用、处置及其收益管理情况；3、为实现绩效目标制定的制度、采取的措施等；4、绩效目标的实现程度和效果；5、需要评价的其他内容。绩效评价一般以预算年度为周期。各预算单位主管部门应在预算年度结束后2个月内开展绩效评价工作，并于6月底前完成。</w:t>
      </w:r>
    </w:p>
    <w:p>
      <w:pPr>
        <w:pStyle w:val="6"/>
        <w:spacing w:line="432" w:lineRule="auto"/>
        <w:rPr>
          <w:rFonts w:ascii="Arial" w:hAnsi="Arial" w:eastAsia="仿宋" w:cs="Arial"/>
          <w:sz w:val="32"/>
        </w:rPr>
      </w:pPr>
      <w:r>
        <w:rPr>
          <w:rFonts w:ascii="Arial" w:hAnsi="Arial" w:eastAsia="仿宋" w:cs="Arial"/>
          <w:sz w:val="32"/>
        </w:rPr>
        <w:t>　　评价指标：注重服务对象满意程度。办法对绩效评价的指标、标准和方法都进行了相关规定。绩效评价指标主要类型包括产出指标、效果指标、成本指标等。值得一提的是，反映服务对象对财政支出的满意程度的指标也在其中。产出指标则细化为：数量指标，反映根据既定绩效目标完成的公共产品和服务数量；质量指标，反映提供公共产品或服务达到的标准、水平和效果；时效指标，反映提供公共产品或服务的及时程度和效率情况。这意味着，绩效评价将对项目的数量成果、质量情况和完成速度都进行考评。绩效评价指标实际数据的获取渠道除政府统计数据、部门工作记录外，还有服务对象的跟踪调查、直接勘察、测验数据等。</w:t>
      </w:r>
    </w:p>
    <w:p>
      <w:pPr>
        <w:pStyle w:val="6"/>
        <w:spacing w:line="432" w:lineRule="auto"/>
        <w:rPr>
          <w:sz w:val="30"/>
          <w:szCs w:val="30"/>
        </w:rPr>
      </w:pPr>
      <w:r>
        <w:rPr>
          <w:rFonts w:ascii="Arial" w:hAnsi="Arial" w:eastAsia="仿宋" w:cs="Arial"/>
          <w:sz w:val="32"/>
        </w:rPr>
        <w:t>　　评价结果：依法在一定范围内公开。绩效评价的重要效力在于其评价结果将作为改进预算管理和安排以后年度预算的重要依据。《办法》明确，对绩效评价结果良好的，财政部门和各预算单位主管部门予以表扬或继续支持；对绩效评价发现问题、达不到绩效目标或绩效评价结果较差的，财政部门和各预算单位主管部门予以通报批评，并责令其限期整改。对不进行整改或整改不到位的，根据情况调整或调减预算，直到取消该项财政支出。值得一提的是，财政部门应将重大支出项目的绩效评价结果定期向政府报告，同时按照政府信息公开有关规定在一定范围内公开。</w:t>
      </w: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2019年双桥区政府采购预算情况说明</w:t>
      </w:r>
    </w:p>
    <w:p>
      <w:pPr>
        <w:rPr>
          <w:sz w:val="32"/>
          <w:szCs w:val="32"/>
        </w:rPr>
      </w:pPr>
    </w:p>
    <w:p>
      <w:pPr>
        <w:ind w:firstLine="480" w:firstLineChars="150"/>
        <w:rPr>
          <w:rFonts w:ascii="仿宋" w:hAnsi="仿宋" w:eastAsia="仿宋" w:cs="仿宋"/>
          <w:sz w:val="32"/>
          <w:szCs w:val="32"/>
        </w:rPr>
      </w:pPr>
      <w:r>
        <w:rPr>
          <w:rFonts w:hint="eastAsia" w:ascii="仿宋" w:hAnsi="仿宋" w:eastAsia="仿宋" w:cs="仿宋"/>
          <w:sz w:val="32"/>
          <w:szCs w:val="32"/>
        </w:rPr>
        <w:t>2019年全区政府采购预算4599万。主要涉及全区各部门各种办公设备采购。从采购项目构成情况看</w:t>
      </w:r>
      <w:r>
        <w:rPr>
          <w:rFonts w:ascii="仿宋" w:hAnsi="仿宋" w:eastAsia="仿宋"/>
          <w:sz w:val="32"/>
          <w:szCs w:val="32"/>
        </w:rPr>
        <w:t>货物类、工程类和服务类预算金额分别为</w:t>
      </w:r>
      <w:r>
        <w:rPr>
          <w:rFonts w:hint="eastAsia" w:ascii="仿宋" w:hAnsi="仿宋" w:eastAsia="仿宋"/>
          <w:sz w:val="32"/>
          <w:szCs w:val="32"/>
        </w:rPr>
        <w:t>2258</w:t>
      </w:r>
      <w:r>
        <w:rPr>
          <w:rFonts w:ascii="仿宋" w:hAnsi="仿宋" w:eastAsia="仿宋"/>
          <w:sz w:val="32"/>
          <w:szCs w:val="32"/>
        </w:rPr>
        <w:t>万元、</w:t>
      </w:r>
      <w:r>
        <w:rPr>
          <w:rFonts w:hint="eastAsia" w:ascii="仿宋" w:hAnsi="仿宋" w:eastAsia="仿宋"/>
          <w:sz w:val="32"/>
          <w:szCs w:val="32"/>
        </w:rPr>
        <w:t>124</w:t>
      </w:r>
      <w:r>
        <w:rPr>
          <w:rFonts w:ascii="仿宋" w:hAnsi="仿宋" w:eastAsia="仿宋"/>
          <w:sz w:val="32"/>
          <w:szCs w:val="32"/>
        </w:rPr>
        <w:t xml:space="preserve"> 万元和 </w:t>
      </w:r>
      <w:r>
        <w:rPr>
          <w:rFonts w:hint="eastAsia" w:ascii="仿宋" w:hAnsi="仿宋" w:eastAsia="仿宋"/>
          <w:sz w:val="32"/>
          <w:szCs w:val="32"/>
        </w:rPr>
        <w:t>2217</w:t>
      </w:r>
      <w:r>
        <w:rPr>
          <w:rFonts w:ascii="仿宋" w:hAnsi="仿宋" w:eastAsia="仿宋"/>
          <w:sz w:val="32"/>
          <w:szCs w:val="32"/>
        </w:rPr>
        <w:t xml:space="preserve"> 万元，分别占总预算的</w:t>
      </w:r>
      <w:r>
        <w:rPr>
          <w:rFonts w:hint="eastAsia" w:ascii="仿宋" w:hAnsi="仿宋" w:eastAsia="仿宋"/>
          <w:sz w:val="32"/>
          <w:szCs w:val="32"/>
        </w:rPr>
        <w:t>49</w:t>
      </w:r>
      <w:r>
        <w:rPr>
          <w:rFonts w:ascii="仿宋" w:hAnsi="仿宋" w:eastAsia="仿宋"/>
          <w:sz w:val="32"/>
          <w:szCs w:val="32"/>
        </w:rPr>
        <w:t xml:space="preserve">%、 </w:t>
      </w:r>
      <w:r>
        <w:rPr>
          <w:rFonts w:hint="eastAsia" w:ascii="仿宋" w:hAnsi="仿宋" w:eastAsia="仿宋"/>
          <w:sz w:val="32"/>
          <w:szCs w:val="32"/>
        </w:rPr>
        <w:t>3</w:t>
      </w:r>
      <w:r>
        <w:rPr>
          <w:rFonts w:ascii="仿宋" w:hAnsi="仿宋" w:eastAsia="仿宋"/>
          <w:sz w:val="32"/>
          <w:szCs w:val="32"/>
        </w:rPr>
        <w:t xml:space="preserve">%和 </w:t>
      </w:r>
      <w:r>
        <w:rPr>
          <w:rFonts w:hint="eastAsia" w:ascii="仿宋" w:hAnsi="仿宋" w:eastAsia="仿宋"/>
          <w:sz w:val="32"/>
          <w:szCs w:val="32"/>
        </w:rPr>
        <w:t>48</w:t>
      </w:r>
      <w:r>
        <w:rPr>
          <w:rFonts w:ascii="仿宋" w:hAnsi="仿宋" w:eastAsia="仿宋"/>
          <w:sz w:val="32"/>
          <w:szCs w:val="32"/>
        </w:rPr>
        <w:t xml:space="preserve">%。从行业部门看，行政政法部门、经建部门、资环部门、其他部门预算金额分别为 </w:t>
      </w:r>
      <w:r>
        <w:rPr>
          <w:rFonts w:hint="eastAsia" w:ascii="仿宋" w:hAnsi="仿宋" w:eastAsia="仿宋"/>
          <w:sz w:val="32"/>
          <w:szCs w:val="32"/>
        </w:rPr>
        <w:t>1738</w:t>
      </w:r>
      <w:r>
        <w:rPr>
          <w:rFonts w:ascii="仿宋" w:hAnsi="仿宋" w:eastAsia="仿宋"/>
          <w:sz w:val="32"/>
          <w:szCs w:val="32"/>
        </w:rPr>
        <w:t>万元、</w:t>
      </w:r>
      <w:r>
        <w:rPr>
          <w:rFonts w:hint="eastAsia" w:ascii="仿宋" w:hAnsi="仿宋" w:eastAsia="仿宋"/>
          <w:sz w:val="32"/>
          <w:szCs w:val="32"/>
        </w:rPr>
        <w:t>33</w:t>
      </w:r>
      <w:r>
        <w:rPr>
          <w:rFonts w:ascii="仿宋" w:hAnsi="仿宋" w:eastAsia="仿宋"/>
          <w:sz w:val="32"/>
          <w:szCs w:val="32"/>
        </w:rPr>
        <w:t xml:space="preserve"> 万元、</w:t>
      </w:r>
      <w:r>
        <w:rPr>
          <w:rFonts w:hint="eastAsia" w:ascii="仿宋" w:hAnsi="仿宋" w:eastAsia="仿宋"/>
          <w:sz w:val="32"/>
          <w:szCs w:val="32"/>
        </w:rPr>
        <w:t>2542</w:t>
      </w:r>
      <w:r>
        <w:rPr>
          <w:rFonts w:ascii="仿宋" w:hAnsi="仿宋" w:eastAsia="仿宋"/>
          <w:sz w:val="32"/>
          <w:szCs w:val="32"/>
        </w:rPr>
        <w:t>万元、</w:t>
      </w:r>
      <w:r>
        <w:rPr>
          <w:rFonts w:hint="eastAsia" w:ascii="仿宋" w:hAnsi="仿宋" w:eastAsia="仿宋"/>
          <w:sz w:val="32"/>
          <w:szCs w:val="32"/>
        </w:rPr>
        <w:t>286</w:t>
      </w:r>
      <w:r>
        <w:rPr>
          <w:rFonts w:ascii="仿宋" w:hAnsi="仿宋" w:eastAsia="仿宋"/>
          <w:sz w:val="32"/>
          <w:szCs w:val="32"/>
        </w:rPr>
        <w:t xml:space="preserve">万元，分别为占总预算的 </w:t>
      </w:r>
      <w:r>
        <w:rPr>
          <w:rFonts w:hint="eastAsia" w:ascii="仿宋" w:hAnsi="仿宋" w:eastAsia="仿宋"/>
          <w:sz w:val="32"/>
          <w:szCs w:val="32"/>
        </w:rPr>
        <w:t>38</w:t>
      </w: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sz w:val="32"/>
          <w:szCs w:val="32"/>
        </w:rPr>
        <w:t>55</w:t>
      </w: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详见附表</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44"/>
          <w:szCs w:val="44"/>
        </w:rPr>
      </w:pPr>
      <w:r>
        <w:rPr>
          <w:rFonts w:hint="eastAsia"/>
          <w:sz w:val="44"/>
          <w:szCs w:val="44"/>
        </w:rPr>
        <w:t xml:space="preserve"> </w:t>
      </w:r>
    </w:p>
    <w:p>
      <w:pPr>
        <w:rPr>
          <w:rFonts w:hint="eastAsia"/>
          <w:sz w:val="44"/>
          <w:szCs w:val="44"/>
        </w:rPr>
      </w:pPr>
    </w:p>
    <w:p>
      <w:pPr>
        <w:rPr>
          <w:rFonts w:hint="eastAsia"/>
          <w:sz w:val="44"/>
          <w:szCs w:val="44"/>
        </w:rPr>
      </w:pPr>
    </w:p>
    <w:p>
      <w:pPr>
        <w:rPr>
          <w:sz w:val="44"/>
          <w:szCs w:val="44"/>
        </w:rPr>
      </w:pPr>
      <w:r>
        <w:rPr>
          <w:rFonts w:hint="eastAsia"/>
          <w:sz w:val="44"/>
          <w:szCs w:val="44"/>
        </w:rPr>
        <w:t xml:space="preserve">             其他事项说明</w:t>
      </w:r>
    </w:p>
    <w:p>
      <w:pPr>
        <w:rPr>
          <w:rFonts w:hint="eastAsia"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无。</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sz w:val="44"/>
          <w:szCs w:val="44"/>
        </w:rPr>
      </w:pPr>
      <w:r>
        <w:rPr>
          <w:rFonts w:hint="eastAsia"/>
          <w:sz w:val="44"/>
          <w:szCs w:val="44"/>
        </w:rPr>
        <w:t>名词解释</w:t>
      </w:r>
    </w:p>
    <w:p>
      <w:pPr>
        <w:rPr>
          <w:sz w:val="32"/>
          <w:szCs w:val="32"/>
        </w:rPr>
      </w:pPr>
    </w:p>
    <w:p>
      <w:pPr>
        <w:ind w:firstLine="630"/>
        <w:rPr>
          <w:sz w:val="32"/>
          <w:szCs w:val="32"/>
        </w:rPr>
      </w:pPr>
      <w:r>
        <w:rPr>
          <w:rFonts w:hint="eastAsia"/>
          <w:sz w:val="32"/>
          <w:szCs w:val="32"/>
        </w:rPr>
        <w:t>（1）财政拨款收入：指中央或省市财政当年拨付的资金，包含一般公共预算财政拨款和政府性</w:t>
      </w:r>
    </w:p>
    <w:p>
      <w:pPr>
        <w:ind w:firstLine="630"/>
        <w:rPr>
          <w:sz w:val="32"/>
          <w:szCs w:val="32"/>
        </w:rPr>
      </w:pPr>
      <w:r>
        <w:rPr>
          <w:rFonts w:hint="eastAsia"/>
          <w:sz w:val="32"/>
          <w:szCs w:val="32"/>
        </w:rPr>
        <w:t>基金预算财政拨款。</w:t>
      </w:r>
    </w:p>
    <w:p>
      <w:pPr>
        <w:ind w:firstLine="630"/>
        <w:rPr>
          <w:sz w:val="32"/>
          <w:szCs w:val="32"/>
        </w:rPr>
      </w:pPr>
      <w:r>
        <w:rPr>
          <w:rFonts w:hint="eastAsia"/>
          <w:sz w:val="32"/>
          <w:szCs w:val="32"/>
        </w:rPr>
        <w:t>（2）上级补助收入：事业单位从主管部门和上级单位取得的非财政补助收入。</w:t>
      </w:r>
    </w:p>
    <w:p>
      <w:pPr>
        <w:ind w:firstLine="630"/>
        <w:rPr>
          <w:sz w:val="32"/>
          <w:szCs w:val="32"/>
        </w:rPr>
      </w:pPr>
      <w:r>
        <w:rPr>
          <w:rFonts w:hint="eastAsia"/>
          <w:sz w:val="32"/>
          <w:szCs w:val="32"/>
        </w:rPr>
        <w:t>（3）其他收入：指除上述“财政拨款收入”、“事业收入”、“经营收入”等以外的收入。</w:t>
      </w:r>
    </w:p>
    <w:p>
      <w:pPr>
        <w:ind w:firstLine="630"/>
        <w:rPr>
          <w:sz w:val="32"/>
          <w:szCs w:val="32"/>
        </w:rPr>
      </w:pPr>
      <w:r>
        <w:rPr>
          <w:rFonts w:hint="eastAsia"/>
          <w:sz w:val="32"/>
          <w:szCs w:val="32"/>
        </w:rPr>
        <w:t>（4）基本支出：指为保障机构正常运转、完成日常工作任务而发生的人员支出和公用支出。</w:t>
      </w:r>
    </w:p>
    <w:p>
      <w:pPr>
        <w:ind w:firstLine="630"/>
        <w:rPr>
          <w:sz w:val="32"/>
          <w:szCs w:val="32"/>
        </w:rPr>
      </w:pPr>
      <w:r>
        <w:rPr>
          <w:rFonts w:hint="eastAsia"/>
          <w:sz w:val="32"/>
          <w:szCs w:val="32"/>
        </w:rPr>
        <w:t>（5）项目支出：指在基本支出之外为完成特定行政任务和事业发展目标所发生的支出。</w:t>
      </w:r>
    </w:p>
    <w:p>
      <w:pPr>
        <w:ind w:firstLine="630"/>
        <w:rPr>
          <w:sz w:val="32"/>
          <w:szCs w:val="32"/>
        </w:rPr>
      </w:pPr>
      <w:r>
        <w:rPr>
          <w:rFonts w:hint="eastAsia"/>
          <w:sz w:val="32"/>
          <w:szCs w:val="32"/>
        </w:rPr>
        <w:t>（6）“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rPr>
          <w:sz w:val="32"/>
          <w:szCs w:val="32"/>
        </w:rPr>
      </w:pPr>
      <w:r>
        <w:rPr>
          <w:rFonts w:hint="eastAsia"/>
          <w:sz w:val="32"/>
          <w:szCs w:val="32"/>
        </w:rPr>
        <w:t>（7）机关运行经费：为保障行政单位（含参照公务员法管理的事业单位）运行用于购买货物和服务的各项资金，2017 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hint="eastAsia" w:ascii="仿宋" w:hAnsi="仿宋" w:eastAsia="仿宋"/>
          <w:b/>
          <w:sz w:val="44"/>
          <w:szCs w:val="44"/>
        </w:rPr>
      </w:pPr>
    </w:p>
    <w:p>
      <w:pPr>
        <w:spacing w:line="520" w:lineRule="exact"/>
        <w:jc w:val="center"/>
        <w:rPr>
          <w:rFonts w:ascii="仿宋" w:hAnsi="仿宋" w:eastAsia="仿宋"/>
          <w:b/>
          <w:sz w:val="44"/>
          <w:szCs w:val="44"/>
        </w:rPr>
      </w:pPr>
      <w:r>
        <w:rPr>
          <w:rFonts w:hint="eastAsia" w:ascii="仿宋" w:hAnsi="仿宋" w:eastAsia="仿宋"/>
          <w:b/>
          <w:sz w:val="44"/>
          <w:szCs w:val="44"/>
        </w:rPr>
        <w:t>关于双桥区2018年</w:t>
      </w:r>
    </w:p>
    <w:p>
      <w:pPr>
        <w:spacing w:line="520" w:lineRule="exact"/>
        <w:jc w:val="center"/>
        <w:rPr>
          <w:rFonts w:ascii="仿宋" w:hAnsi="仿宋" w:eastAsia="仿宋"/>
          <w:b/>
          <w:sz w:val="44"/>
          <w:szCs w:val="44"/>
        </w:rPr>
      </w:pPr>
      <w:r>
        <w:rPr>
          <w:rFonts w:hint="eastAsia" w:ascii="仿宋" w:hAnsi="仿宋" w:eastAsia="仿宋"/>
          <w:b/>
          <w:sz w:val="44"/>
          <w:szCs w:val="44"/>
        </w:rPr>
        <w:t>财政预算执行情况和 2019年财政预算</w:t>
      </w:r>
    </w:p>
    <w:p>
      <w:pPr>
        <w:spacing w:line="520" w:lineRule="exact"/>
        <w:jc w:val="center"/>
        <w:rPr>
          <w:rFonts w:ascii="仿宋" w:hAnsi="仿宋" w:eastAsia="仿宋"/>
          <w:b/>
          <w:sz w:val="44"/>
          <w:szCs w:val="44"/>
        </w:rPr>
      </w:pPr>
      <w:r>
        <w:rPr>
          <w:rFonts w:hint="eastAsia" w:ascii="仿宋" w:hAnsi="仿宋" w:eastAsia="仿宋"/>
          <w:b/>
          <w:sz w:val="44"/>
          <w:szCs w:val="44"/>
        </w:rPr>
        <w:t>草案的报告（书面）</w:t>
      </w:r>
    </w:p>
    <w:p>
      <w:pPr>
        <w:spacing w:line="520" w:lineRule="exact"/>
        <w:rPr>
          <w:rFonts w:ascii="仿宋" w:hAnsi="仿宋" w:eastAsia="仿宋"/>
          <w:sz w:val="32"/>
          <w:szCs w:val="32"/>
        </w:rPr>
      </w:pPr>
    </w:p>
    <w:p>
      <w:pPr>
        <w:spacing w:line="520" w:lineRule="exact"/>
        <w:jc w:val="center"/>
        <w:rPr>
          <w:rFonts w:ascii="仿宋" w:hAnsi="仿宋" w:eastAsia="仿宋"/>
          <w:b/>
          <w:sz w:val="32"/>
          <w:szCs w:val="32"/>
        </w:rPr>
      </w:pPr>
      <w:r>
        <w:rPr>
          <w:rFonts w:hint="eastAsia" w:ascii="仿宋" w:hAnsi="仿宋" w:eastAsia="仿宋"/>
          <w:b/>
          <w:sz w:val="32"/>
          <w:szCs w:val="32"/>
        </w:rPr>
        <w:t>——2019年1月日在双桥区第十届人民代表大会第三次会议上</w:t>
      </w:r>
    </w:p>
    <w:p>
      <w:pPr>
        <w:spacing w:line="520" w:lineRule="exact"/>
        <w:jc w:val="center"/>
        <w:rPr>
          <w:rFonts w:ascii="仿宋" w:hAnsi="仿宋" w:eastAsia="仿宋"/>
          <w:b/>
          <w:sz w:val="32"/>
          <w:szCs w:val="32"/>
        </w:rPr>
      </w:pPr>
    </w:p>
    <w:p>
      <w:pPr>
        <w:spacing w:line="520" w:lineRule="exact"/>
        <w:jc w:val="center"/>
        <w:rPr>
          <w:rFonts w:ascii="仿宋" w:hAnsi="仿宋" w:eastAsia="仿宋"/>
          <w:b/>
          <w:sz w:val="32"/>
          <w:szCs w:val="32"/>
        </w:rPr>
      </w:pPr>
      <w:r>
        <w:rPr>
          <w:rFonts w:hint="eastAsia" w:ascii="仿宋" w:hAnsi="仿宋" w:eastAsia="仿宋"/>
          <w:b/>
          <w:sz w:val="32"/>
          <w:szCs w:val="32"/>
        </w:rPr>
        <w:t>双桥区财政局局长   刘全忠</w:t>
      </w:r>
    </w:p>
    <w:p>
      <w:pPr>
        <w:spacing w:line="520" w:lineRule="exact"/>
        <w:rPr>
          <w:rFonts w:ascii="仿宋" w:hAnsi="仿宋" w:eastAsia="仿宋"/>
          <w:sz w:val="32"/>
          <w:szCs w:val="32"/>
        </w:rPr>
      </w:pPr>
    </w:p>
    <w:p>
      <w:pPr>
        <w:spacing w:line="520" w:lineRule="exact"/>
        <w:rPr>
          <w:rFonts w:ascii="仿宋" w:hAnsi="仿宋" w:eastAsia="仿宋"/>
          <w:b/>
          <w:sz w:val="32"/>
          <w:szCs w:val="32"/>
        </w:rPr>
      </w:pPr>
      <w:r>
        <w:rPr>
          <w:rFonts w:hint="eastAsia" w:ascii="仿宋" w:hAnsi="仿宋" w:eastAsia="仿宋"/>
          <w:b/>
          <w:sz w:val="32"/>
          <w:szCs w:val="32"/>
        </w:rPr>
        <w:t>各位代表：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受区政府委托，我向大会提交2018年财政预算执行情况和 2019年财政预算（草案）的报告，请予审议，并请区政协各位委员和其他列席人员提出意见。</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 xml:space="preserve">一、2018年财政预算执行情况 </w:t>
      </w:r>
    </w:p>
    <w:p>
      <w:pPr>
        <w:spacing w:line="520" w:lineRule="exact"/>
        <w:ind w:firstLine="640" w:firstLineChars="200"/>
        <w:rPr>
          <w:rFonts w:ascii="仿宋" w:hAnsi="仿宋" w:eastAsia="仿宋" w:cs="宋体"/>
          <w:sz w:val="24"/>
        </w:rPr>
      </w:pPr>
      <w:r>
        <w:rPr>
          <w:rFonts w:hint="eastAsia" w:ascii="仿宋" w:hAnsi="仿宋" w:eastAsia="仿宋" w:cs="宋体"/>
          <w:sz w:val="32"/>
          <w:szCs w:val="32"/>
        </w:rPr>
        <w:t>2018年</w:t>
      </w:r>
      <w:r>
        <w:rPr>
          <w:rFonts w:hint="eastAsia" w:ascii="仿宋" w:hAnsi="仿宋" w:eastAsia="仿宋"/>
          <w:color w:val="000000"/>
          <w:sz w:val="32"/>
          <w:szCs w:val="32"/>
        </w:rPr>
        <w:t>是财政经济发展经受严峻考验的一年，</w:t>
      </w:r>
      <w:r>
        <w:rPr>
          <w:rFonts w:hint="eastAsia" w:ascii="仿宋" w:hAnsi="仿宋" w:eastAsia="仿宋"/>
          <w:sz w:val="32"/>
          <w:szCs w:val="32"/>
        </w:rPr>
        <w:t>全区财税部门在区委的正确领导下，</w:t>
      </w:r>
      <w:r>
        <w:rPr>
          <w:rFonts w:hint="eastAsia" w:ascii="仿宋" w:hAnsi="仿宋" w:eastAsia="仿宋" w:cs="宋体"/>
          <w:sz w:val="32"/>
          <w:szCs w:val="32"/>
        </w:rPr>
        <w:t xml:space="preserve"> 坚持以习近平</w:t>
      </w:r>
      <w:r>
        <w:rPr>
          <w:rFonts w:hint="eastAsia" w:ascii="仿宋" w:hAnsi="仿宋" w:eastAsia="仿宋"/>
          <w:sz w:val="32"/>
          <w:szCs w:val="32"/>
        </w:rPr>
        <w:t>新时代中国特色社会主义经济思想为统领</w:t>
      </w:r>
      <w:r>
        <w:rPr>
          <w:rFonts w:hint="eastAsia" w:ascii="仿宋" w:hAnsi="仿宋" w:eastAsia="仿宋" w:cs="宋体"/>
          <w:sz w:val="32"/>
          <w:szCs w:val="32"/>
        </w:rPr>
        <w:t>，认真贯彻执行中央、省、市各项决策部署，坚持新发展理念，创新工作举措，狠抓工作落实，紧盯协同发展，积极拓展财政职能，破解资金瓶颈，深化财税改革，优化资金配置，加强执行管理，主动加压、负重奋进，顽强拼搏、奋力攻坚，圆满完成区十届人大二次会议确定的目标任务，有力推动了全区经济社会持续健康发展。</w:t>
      </w:r>
    </w:p>
    <w:p>
      <w:pPr>
        <w:spacing w:line="520" w:lineRule="exact"/>
        <w:ind w:firstLine="643" w:firstLineChars="200"/>
        <w:outlineLvl w:val="0"/>
        <w:rPr>
          <w:rFonts w:ascii="仿宋" w:hAnsi="仿宋" w:eastAsia="仿宋"/>
          <w:b/>
          <w:sz w:val="32"/>
          <w:szCs w:val="32"/>
        </w:rPr>
      </w:pPr>
      <w:r>
        <w:rPr>
          <w:rFonts w:hint="eastAsia" w:ascii="仿宋" w:hAnsi="仿宋" w:eastAsia="仿宋"/>
          <w:b/>
          <w:sz w:val="32"/>
          <w:szCs w:val="32"/>
        </w:rPr>
        <w:t>（一）努力完成目标，严格精打细算，力保收支相平衡</w:t>
      </w:r>
    </w:p>
    <w:p>
      <w:pPr>
        <w:spacing w:line="520" w:lineRule="exact"/>
        <w:ind w:firstLine="640" w:firstLineChars="200"/>
        <w:rPr>
          <w:rFonts w:ascii="仿宋" w:hAnsi="仿宋" w:eastAsia="仿宋"/>
          <w:bCs/>
          <w:color w:val="000000" w:themeColor="text1"/>
          <w:sz w:val="32"/>
          <w:szCs w:val="32"/>
        </w:rPr>
      </w:pPr>
      <w:r>
        <w:rPr>
          <w:rFonts w:hint="eastAsia" w:ascii="仿宋" w:hAnsi="仿宋" w:eastAsia="仿宋"/>
          <w:sz w:val="32"/>
          <w:szCs w:val="32"/>
        </w:rPr>
        <w:t>2018年，</w:t>
      </w:r>
      <w:r>
        <w:rPr>
          <w:rFonts w:hint="eastAsia" w:ascii="仿宋" w:hAnsi="仿宋" w:eastAsia="仿宋"/>
          <w:bCs/>
          <w:sz w:val="32"/>
          <w:szCs w:val="32"/>
        </w:rPr>
        <w:t>全区全部财政收入</w:t>
      </w:r>
      <w:r>
        <w:rPr>
          <w:rFonts w:ascii="仿宋" w:hAnsi="仿宋" w:eastAsia="仿宋"/>
          <w:bCs/>
          <w:sz w:val="32"/>
          <w:szCs w:val="32"/>
        </w:rPr>
        <w:t>实现</w:t>
      </w:r>
      <w:r>
        <w:rPr>
          <w:rFonts w:hint="eastAsia" w:ascii="仿宋" w:hAnsi="仿宋" w:eastAsia="仿宋"/>
          <w:bCs/>
          <w:sz w:val="32"/>
          <w:szCs w:val="32"/>
        </w:rPr>
        <w:t>32.6亿元</w:t>
      </w:r>
      <w:r>
        <w:rPr>
          <w:rFonts w:hint="eastAsia" w:ascii="仿宋" w:hAnsi="仿宋" w:eastAsia="仿宋"/>
          <w:sz w:val="32"/>
          <w:szCs w:val="32"/>
        </w:rPr>
        <w:t>，完成调整预算的107.6%，增长15.3%</w:t>
      </w:r>
      <w:r>
        <w:rPr>
          <w:rFonts w:ascii="仿宋" w:hAnsi="仿宋" w:eastAsia="仿宋"/>
          <w:sz w:val="32"/>
          <w:szCs w:val="32"/>
        </w:rPr>
        <w:t>。</w:t>
      </w:r>
      <w:r>
        <w:rPr>
          <w:rFonts w:hint="eastAsia" w:ascii="仿宋" w:hAnsi="仿宋" w:eastAsia="仿宋"/>
          <w:sz w:val="32"/>
          <w:szCs w:val="32"/>
        </w:rPr>
        <w:t>其中: 公共财政</w:t>
      </w:r>
      <w:r>
        <w:rPr>
          <w:rFonts w:hint="eastAsia" w:ascii="仿宋" w:hAnsi="仿宋" w:eastAsia="仿宋"/>
          <w:bCs/>
          <w:sz w:val="32"/>
          <w:szCs w:val="32"/>
        </w:rPr>
        <w:t>收入实现15.8亿元，完成调整预算的113.8%，</w:t>
      </w:r>
      <w:r>
        <w:rPr>
          <w:rFonts w:hint="eastAsia" w:ascii="仿宋" w:hAnsi="仿宋" w:eastAsia="仿宋"/>
          <w:sz w:val="32"/>
          <w:szCs w:val="32"/>
        </w:rPr>
        <w:t>增长22%</w:t>
      </w:r>
      <w:r>
        <w:rPr>
          <w:rFonts w:hint="eastAsia" w:ascii="仿宋" w:hAnsi="仿宋" w:eastAsia="仿宋"/>
          <w:bCs/>
          <w:sz w:val="32"/>
          <w:szCs w:val="32"/>
        </w:rPr>
        <w:t>。</w:t>
      </w:r>
      <w:r>
        <w:rPr>
          <w:rFonts w:hint="eastAsia" w:ascii="仿宋" w:hAnsi="仿宋" w:eastAsia="仿宋"/>
          <w:sz w:val="32"/>
          <w:szCs w:val="32"/>
        </w:rPr>
        <w:t>全区政府性基金收入完成8844万元,完成调整预算的221.1%。</w:t>
      </w:r>
      <w:r>
        <w:rPr>
          <w:rFonts w:hint="eastAsia" w:ascii="仿宋" w:hAnsi="仿宋" w:eastAsia="仿宋"/>
          <w:color w:val="000000" w:themeColor="text1"/>
          <w:sz w:val="32"/>
          <w:szCs w:val="32"/>
        </w:rPr>
        <w:t>全区社保基金收入完成8.1亿元，完成调整预算的120%。</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themeColor="text1"/>
          <w:sz w:val="32"/>
          <w:szCs w:val="32"/>
        </w:rPr>
        <w:t>2018年经区十届人大二次会议批准的公共财政支出预算为270523万元；政府性基金支出预算165244万元（不含上解支出3700万元）；社保基金支出预算64046万元。根据各项财政收入完成情况及上级下达各项转移支付情况，同时按照城市基础设施配套费上解政策执行情况，经区十届人大常委会第15次会议批准的财政收支预算调整为：（1）公共财政预算支出调整为149678万元；（2）政府性基金支出调整为64565万元；（3）社保基金支出调整为33927万元。2018年公共财政预算支出实际完成136536万元，占调整预算的91.2%；政府性基金预算支出实际完成46590万元（调入一般公共预算20000万元），占调整预算的72.1%；社保基金预算支出实际完成33927万元，占调整预算的100%。上述全区财政预算执行情况均为预计完成数据，待与上级财政</w:t>
      </w:r>
      <w:r>
        <w:rPr>
          <w:rFonts w:hint="eastAsia" w:ascii="仿宋" w:hAnsi="仿宋" w:eastAsia="仿宋"/>
          <w:color w:val="000000"/>
          <w:sz w:val="32"/>
          <w:szCs w:val="32"/>
        </w:rPr>
        <w:t>结算后将会发生一些变化，届时再报请区人大常委会审议批准。</w:t>
      </w:r>
    </w:p>
    <w:p>
      <w:pPr>
        <w:spacing w:line="520" w:lineRule="exact"/>
        <w:ind w:firstLine="643" w:firstLineChars="200"/>
        <w:outlineLvl w:val="0"/>
        <w:rPr>
          <w:rFonts w:ascii="仿宋" w:hAnsi="仿宋" w:eastAsia="仿宋"/>
          <w:b/>
          <w:sz w:val="32"/>
          <w:szCs w:val="32"/>
        </w:rPr>
      </w:pPr>
      <w:r>
        <w:rPr>
          <w:rFonts w:hint="eastAsia" w:ascii="仿宋" w:hAnsi="仿宋" w:eastAsia="仿宋"/>
          <w:b/>
          <w:sz w:val="32"/>
          <w:szCs w:val="32"/>
        </w:rPr>
        <w:t>（二）强化均衡提标，突出保障重点，精准发力惠民生。</w:t>
      </w:r>
    </w:p>
    <w:p>
      <w:pPr>
        <w:spacing w:line="520" w:lineRule="exact"/>
        <w:ind w:firstLine="800" w:firstLineChars="250"/>
        <w:rPr>
          <w:rFonts w:ascii="仿宋" w:hAnsi="仿宋" w:eastAsia="仿宋"/>
          <w:color w:val="000000"/>
          <w:sz w:val="32"/>
          <w:szCs w:val="32"/>
        </w:rPr>
      </w:pPr>
      <w:r>
        <w:rPr>
          <w:rFonts w:hint="eastAsia" w:ascii="仿宋" w:hAnsi="仿宋" w:eastAsia="仿宋"/>
          <w:sz w:val="32"/>
          <w:szCs w:val="32"/>
        </w:rPr>
        <w:t>努力调整支出结构，着力解决人民群众最关心、最直接、最现实的利益问题，努力建设民生财政。在收入压力巨大的情况下，财政部门多方筹集和调度资金，足额保障全区各项民生支出。2018年全</w:t>
      </w:r>
      <w:r>
        <w:rPr>
          <w:rFonts w:hint="eastAsia" w:ascii="仿宋" w:hAnsi="仿宋" w:eastAsia="仿宋"/>
          <w:color w:val="000000"/>
          <w:sz w:val="32"/>
          <w:szCs w:val="32"/>
        </w:rPr>
        <w:t>区各项民生支出累计实现119885万元，占公共财政预算支出的87.8%。</w:t>
      </w:r>
    </w:p>
    <w:p>
      <w:pPr>
        <w:spacing w:line="520" w:lineRule="exact"/>
        <w:ind w:firstLine="643" w:firstLineChars="200"/>
        <w:rPr>
          <w:rFonts w:ascii="仿宋" w:hAnsi="仿宋" w:eastAsia="仿宋"/>
          <w:color w:val="000000"/>
          <w:sz w:val="32"/>
          <w:szCs w:val="32"/>
        </w:rPr>
      </w:pPr>
      <w:r>
        <w:rPr>
          <w:rFonts w:hint="eastAsia" w:ascii="仿宋" w:hAnsi="仿宋" w:eastAsia="仿宋"/>
          <w:b/>
          <w:sz w:val="32"/>
          <w:szCs w:val="32"/>
        </w:rPr>
        <w:t>1、全区公教人员工资性支出较快增长。</w:t>
      </w:r>
      <w:r>
        <w:rPr>
          <w:rFonts w:hint="eastAsia" w:ascii="仿宋" w:hAnsi="仿宋" w:eastAsia="仿宋"/>
          <w:sz w:val="32"/>
          <w:szCs w:val="32"/>
        </w:rPr>
        <w:t>积极统筹财力、千方百计筹集资金，保障了全区公教人员各项支出政策的落实，全区公教人员工资性支出实现</w:t>
      </w:r>
      <w:r>
        <w:rPr>
          <w:rFonts w:hint="eastAsia" w:ascii="仿宋" w:hAnsi="仿宋" w:eastAsia="仿宋"/>
          <w:color w:val="000000"/>
          <w:sz w:val="32"/>
          <w:szCs w:val="32"/>
        </w:rPr>
        <w:t>72622万元,占全部公共财政预算支出的53%，占区本级可用财力的72%。</w:t>
      </w:r>
    </w:p>
    <w:p>
      <w:pPr>
        <w:spacing w:line="520" w:lineRule="exact"/>
        <w:ind w:firstLine="643" w:firstLineChars="200"/>
        <w:rPr>
          <w:rFonts w:ascii="仿宋" w:hAnsi="仿宋" w:eastAsia="仿宋"/>
          <w:color w:val="FF0000"/>
          <w:sz w:val="32"/>
          <w:szCs w:val="32"/>
        </w:rPr>
      </w:pPr>
      <w:r>
        <w:rPr>
          <w:rFonts w:hint="eastAsia" w:ascii="仿宋" w:hAnsi="仿宋" w:eastAsia="仿宋"/>
          <w:b/>
          <w:sz w:val="32"/>
          <w:szCs w:val="32"/>
        </w:rPr>
        <w:t>2、社会保障和就业政策全面落实。</w:t>
      </w:r>
      <w:r>
        <w:rPr>
          <w:rFonts w:hint="eastAsia" w:ascii="仿宋" w:hAnsi="仿宋" w:eastAsia="仿宋"/>
          <w:sz w:val="32"/>
          <w:szCs w:val="32"/>
        </w:rPr>
        <w:t>全区社会保障和就业支出</w:t>
      </w:r>
      <w:r>
        <w:rPr>
          <w:rFonts w:hint="eastAsia" w:ascii="仿宋" w:hAnsi="仿宋" w:eastAsia="仿宋"/>
          <w:b/>
          <w:sz w:val="32"/>
          <w:szCs w:val="32"/>
        </w:rPr>
        <w:t>21918万元</w:t>
      </w:r>
      <w:r>
        <w:rPr>
          <w:rFonts w:hint="eastAsia" w:ascii="仿宋" w:hAnsi="仿宋" w:eastAsia="仿宋"/>
          <w:sz w:val="32"/>
          <w:szCs w:val="32"/>
        </w:rPr>
        <w:t>。</w:t>
      </w:r>
      <w:r>
        <w:rPr>
          <w:rFonts w:hint="eastAsia" w:ascii="仿宋" w:hAnsi="仿宋" w:eastAsia="仿宋"/>
          <w:b/>
          <w:sz w:val="32"/>
          <w:szCs w:val="32"/>
        </w:rPr>
        <w:t>一是</w:t>
      </w:r>
      <w:r>
        <w:rPr>
          <w:rFonts w:hint="eastAsia" w:ascii="仿宋" w:hAnsi="仿宋" w:eastAsia="仿宋"/>
          <w:sz w:val="32"/>
          <w:szCs w:val="32"/>
        </w:rPr>
        <w:t>全力做好对城乡低保、五保、城市特困、孤儿及建档立卡贫困户等特殊人群各方面的保障，救助力度逐步提高，各项保障标准均有所提高，全年城乡低保资金支出2214万元，低保对象实现应保尽保。</w:t>
      </w:r>
      <w:r>
        <w:rPr>
          <w:rFonts w:hint="eastAsia" w:ascii="仿宋" w:hAnsi="仿宋" w:eastAsia="仿宋"/>
          <w:b/>
          <w:sz w:val="32"/>
          <w:szCs w:val="32"/>
        </w:rPr>
        <w:t>二是</w:t>
      </w:r>
      <w:r>
        <w:rPr>
          <w:rFonts w:hint="eastAsia" w:ascii="仿宋" w:hAnsi="仿宋" w:eastAsia="仿宋"/>
          <w:sz w:val="32"/>
          <w:szCs w:val="32"/>
        </w:rPr>
        <w:t>落实抚恤、优抚、义务兵优待政策，保障各项补贴发放，提高优抚对象补助标准。拨付优抚生活、医疗补助、伤残抚恤、义务兵优待金共计1869万元</w:t>
      </w:r>
      <w:r>
        <w:rPr>
          <w:rStyle w:val="12"/>
          <w:rFonts w:hint="eastAsia" w:ascii="仿宋" w:hAnsi="仿宋" w:eastAsia="仿宋"/>
          <w:sz w:val="32"/>
          <w:szCs w:val="32"/>
        </w:rPr>
        <w:t>。</w:t>
      </w:r>
      <w:r>
        <w:rPr>
          <w:rFonts w:hint="eastAsia" w:ascii="仿宋" w:hAnsi="仿宋" w:eastAsia="仿宋"/>
          <w:b/>
          <w:sz w:val="32"/>
          <w:szCs w:val="32"/>
        </w:rPr>
        <w:t>三是</w:t>
      </w:r>
      <w:r>
        <w:rPr>
          <w:rFonts w:hint="eastAsia" w:ascii="仿宋" w:hAnsi="仿宋" w:eastAsia="仿宋" w:cs="Arial"/>
          <w:sz w:val="32"/>
          <w:szCs w:val="32"/>
        </w:rPr>
        <w:t>全力保障基层政权和社区建设的经费需要、支持民族村发展，全年累计支出1025万元，社区居委会基础设施和办公条件显著提高，群众生活质量也有所改善</w:t>
      </w:r>
      <w:r>
        <w:rPr>
          <w:rFonts w:hint="eastAsia" w:ascii="仿宋" w:hAnsi="仿宋" w:eastAsia="仿宋"/>
          <w:sz w:val="32"/>
          <w:szCs w:val="32"/>
        </w:rPr>
        <w:t>。</w:t>
      </w:r>
      <w:r>
        <w:rPr>
          <w:rFonts w:hint="eastAsia" w:ascii="仿宋" w:hAnsi="仿宋" w:eastAsia="仿宋"/>
          <w:b/>
          <w:color w:val="000000"/>
          <w:sz w:val="32"/>
          <w:szCs w:val="32"/>
        </w:rPr>
        <w:t>四是</w:t>
      </w:r>
      <w:r>
        <w:rPr>
          <w:rFonts w:hint="eastAsia" w:ascii="仿宋" w:hAnsi="仿宋" w:eastAsia="仿宋"/>
          <w:color w:val="000000"/>
          <w:sz w:val="32"/>
          <w:szCs w:val="32"/>
        </w:rPr>
        <w:t>社会保险、社会福利、残疾人事业等其他社会保障资金支出16810万元，企业、机关事业单位、</w:t>
      </w:r>
      <w:r>
        <w:rPr>
          <w:rFonts w:hint="eastAsia" w:ascii="仿宋" w:hAnsi="仿宋" w:eastAsia="仿宋" w:cs="仿宋_GB2312"/>
          <w:color w:val="000000"/>
          <w:sz w:val="32"/>
          <w:szCs w:val="32"/>
        </w:rPr>
        <w:t>居民养老各级缴费补贴全部落实到位，支持就业技能培训，开展灵活就业保险补贴工作，促进残疾人事业发展。</w:t>
      </w:r>
    </w:p>
    <w:p>
      <w:pPr>
        <w:spacing w:line="520" w:lineRule="exact"/>
        <w:ind w:firstLine="643" w:firstLineChars="200"/>
        <w:rPr>
          <w:rFonts w:ascii="仿宋" w:hAnsi="仿宋" w:eastAsia="仿宋" w:cs="仿宋"/>
          <w:color w:val="000000"/>
          <w:sz w:val="32"/>
          <w:szCs w:val="32"/>
        </w:rPr>
      </w:pPr>
      <w:r>
        <w:rPr>
          <w:rFonts w:hint="eastAsia" w:ascii="仿宋" w:hAnsi="仿宋" w:eastAsia="仿宋"/>
          <w:b/>
          <w:sz w:val="32"/>
          <w:szCs w:val="32"/>
        </w:rPr>
        <w:t>3、涉及民生的重点社会事业全面发展。</w:t>
      </w:r>
      <w:r>
        <w:rPr>
          <w:rFonts w:hint="eastAsia" w:ascii="仿宋" w:hAnsi="仿宋" w:eastAsia="仿宋"/>
          <w:color w:val="000000"/>
          <w:sz w:val="32"/>
          <w:szCs w:val="32"/>
        </w:rPr>
        <w:t>全区</w:t>
      </w:r>
      <w:r>
        <w:rPr>
          <w:rFonts w:hint="eastAsia" w:ascii="仿宋" w:hAnsi="仿宋" w:eastAsia="仿宋"/>
          <w:b/>
          <w:color w:val="000000"/>
          <w:sz w:val="32"/>
          <w:szCs w:val="32"/>
        </w:rPr>
        <w:t>农林水事务</w:t>
      </w:r>
      <w:r>
        <w:rPr>
          <w:rFonts w:hint="eastAsia" w:ascii="仿宋" w:hAnsi="仿宋" w:eastAsia="仿宋"/>
          <w:color w:val="000000"/>
          <w:sz w:val="32"/>
          <w:szCs w:val="32"/>
        </w:rPr>
        <w:t>支出6765万元。全面落实各项强农惠农政策，规范农村集体“三资”管理，完成农村土地确权登记颁证，土地流转总面积达到5279亩，完成人工造林任务3080亩，新发展经济林1000亩，义务植树35万株，森林覆盖率达到43.5%；</w:t>
      </w:r>
      <w:r>
        <w:rPr>
          <w:rFonts w:hint="eastAsia" w:ascii="仿宋" w:hAnsi="仿宋" w:eastAsia="仿宋"/>
          <w:b/>
          <w:sz w:val="32"/>
          <w:szCs w:val="32"/>
        </w:rPr>
        <w:t>教育事业</w:t>
      </w:r>
      <w:r>
        <w:rPr>
          <w:rFonts w:hint="eastAsia" w:ascii="仿宋" w:hAnsi="仿宋" w:eastAsia="仿宋"/>
          <w:sz w:val="32"/>
          <w:szCs w:val="32"/>
        </w:rPr>
        <w:t>支出</w:t>
      </w:r>
      <w:r>
        <w:rPr>
          <w:rFonts w:hint="eastAsia" w:ascii="仿宋" w:hAnsi="仿宋" w:eastAsia="仿宋"/>
          <w:b/>
          <w:sz w:val="32"/>
          <w:szCs w:val="32"/>
        </w:rPr>
        <w:t>34113万元</w:t>
      </w:r>
      <w:r>
        <w:rPr>
          <w:rFonts w:hint="eastAsia" w:ascii="仿宋" w:hAnsi="仿宋" w:eastAsia="仿宋"/>
          <w:sz w:val="32"/>
          <w:szCs w:val="32"/>
        </w:rPr>
        <w:t>，足额保障全区各所学校稳定运转，支出教育公用经费1838万元。积极推动承德市第十八中学、双峰寺第三小学、现代城小学建设，加大民族中学、民族小学、十二中等学校建设项目支持，落实普宁、汇水湾、会龙山等新建校、薄弱校供热入网及取暖补贴，累计支出4505万元,充实教师队伍、提升整体教学能力，支持开展系列教育活动，落实教师培训费、更新购置教学仪器设备，建设专用教室等设施购建资金818万元，顺利通过国家义务教育均衡发展验收；</w:t>
      </w:r>
      <w:r>
        <w:rPr>
          <w:rFonts w:hint="eastAsia" w:ascii="仿宋" w:hAnsi="仿宋" w:eastAsia="仿宋"/>
          <w:b/>
          <w:color w:val="000000"/>
          <w:sz w:val="32"/>
          <w:szCs w:val="32"/>
        </w:rPr>
        <w:t>医疗卫生和计划生育支出6119</w:t>
      </w:r>
      <w:r>
        <w:rPr>
          <w:rFonts w:hint="eastAsia" w:ascii="仿宋" w:hAnsi="仿宋" w:eastAsia="仿宋"/>
          <w:color w:val="000000"/>
          <w:sz w:val="32"/>
          <w:szCs w:val="32"/>
        </w:rPr>
        <w:t>万元，支持基本公共卫生、重大公共卫生工作开展，拨付公共卫生项目资金1829万元。推动基层医疗改革、促进中医药发展，落实各级医改补助、中医药资金1022万，落实各项卫生计生奖励扶助、特别扶助、健康检查等专项资金678万元，落实居民医疗保险政府配套资金1999万元，提高困难群众医疗保障水平，采取一站式服务，实现出院即报，有效缓解困难群众医疗负担；</w:t>
      </w:r>
      <w:r>
        <w:rPr>
          <w:rFonts w:hint="eastAsia" w:ascii="仿宋" w:hAnsi="仿宋" w:eastAsia="仿宋"/>
          <w:b/>
          <w:color w:val="000000"/>
          <w:sz w:val="32"/>
          <w:szCs w:val="32"/>
        </w:rPr>
        <w:t>节能环保支出</w:t>
      </w:r>
      <w:r>
        <w:rPr>
          <w:rFonts w:hint="eastAsia" w:ascii="仿宋" w:hAnsi="仿宋" w:eastAsia="仿宋"/>
          <w:color w:val="000000"/>
          <w:sz w:val="32"/>
          <w:szCs w:val="32"/>
        </w:rPr>
        <w:t>4115万元，坚决贯彻绿水青山就是金山银山的理念，着眼解决生态突出问题</w:t>
      </w:r>
      <w:r>
        <w:rPr>
          <w:rFonts w:hint="eastAsia" w:ascii="仿宋_GB2312" w:eastAsia="仿宋_GB2312"/>
          <w:color w:val="000000"/>
          <w:sz w:val="32"/>
          <w:szCs w:val="32"/>
        </w:rPr>
        <w:t>，</w:t>
      </w:r>
      <w:r>
        <w:rPr>
          <w:rFonts w:hint="eastAsia" w:ascii="仿宋" w:hAnsi="仿宋" w:eastAsia="仿宋"/>
          <w:color w:val="000000"/>
          <w:sz w:val="32"/>
          <w:szCs w:val="32"/>
        </w:rPr>
        <w:t>淘汰燃煤锅炉62台，完成中心城区清洁能源替代改造任务5000户，农村“电代煤”、“气代煤”改造1019户，严格落实道路及生产降尘抑尘作业，新建大气自动监测站5座，新建水质断面自动监测站1座，空气、水质均达到规定标准；</w:t>
      </w:r>
      <w:r>
        <w:rPr>
          <w:rFonts w:hint="eastAsia" w:ascii="仿宋" w:hAnsi="仿宋" w:eastAsia="仿宋"/>
          <w:b/>
          <w:color w:val="000000"/>
          <w:sz w:val="32"/>
          <w:szCs w:val="32"/>
        </w:rPr>
        <w:t>住房保障支出</w:t>
      </w:r>
      <w:r>
        <w:rPr>
          <w:rFonts w:hint="eastAsia" w:ascii="仿宋" w:hAnsi="仿宋" w:eastAsia="仿宋"/>
          <w:color w:val="000000"/>
          <w:sz w:val="32"/>
          <w:szCs w:val="32"/>
        </w:rPr>
        <w:t>6596万元，</w:t>
      </w:r>
      <w:r>
        <w:rPr>
          <w:rFonts w:hint="eastAsia" w:ascii="仿宋" w:hAnsi="仿宋" w:eastAsia="仿宋" w:cs="仿宋"/>
          <w:color w:val="000000"/>
          <w:sz w:val="32"/>
          <w:szCs w:val="32"/>
        </w:rPr>
        <w:t>全年共筹集保障性安居工程专项资金5311万元，发放廉租住房补贴资金252万元，保障低收入群体1151户，累计拨付公租房、棚改项目资金6119万元，开工建设保障性住房2751套，保障了我区各类棚户区改造项目顺利实施</w:t>
      </w:r>
      <w:r>
        <w:rPr>
          <w:rFonts w:hint="eastAsia" w:ascii="仿宋" w:hAnsi="仿宋" w:eastAsia="仿宋"/>
          <w:color w:val="000000"/>
          <w:sz w:val="32"/>
          <w:szCs w:val="32"/>
        </w:rPr>
        <w:t>；</w:t>
      </w:r>
      <w:r>
        <w:rPr>
          <w:rFonts w:hint="eastAsia" w:ascii="仿宋" w:hAnsi="仿宋" w:eastAsia="仿宋"/>
          <w:b/>
          <w:color w:val="000000"/>
          <w:sz w:val="32"/>
          <w:szCs w:val="32"/>
        </w:rPr>
        <w:t>公共安全</w:t>
      </w:r>
      <w:r>
        <w:rPr>
          <w:rFonts w:hint="eastAsia" w:ascii="仿宋" w:hAnsi="仿宋" w:eastAsia="仿宋"/>
          <w:color w:val="000000"/>
          <w:sz w:val="32"/>
          <w:szCs w:val="32"/>
        </w:rPr>
        <w:t>支出12759万元，足额保障了公检法司部门的公用经费和办案经费，拨付政法机关业务装备和业务办案经费1769万元，全区社会治安管理、治安防控体系建设、法律援助、司法调解和信访稳定工作进一步加强，为创建和谐稳定的社会环境打下坚实基础；</w:t>
      </w:r>
      <w:r>
        <w:rPr>
          <w:rFonts w:hint="eastAsia" w:ascii="仿宋" w:hAnsi="仿宋" w:eastAsia="仿宋"/>
          <w:b/>
          <w:color w:val="000000"/>
          <w:sz w:val="32"/>
          <w:szCs w:val="32"/>
        </w:rPr>
        <w:t>科技和文化</w:t>
      </w:r>
      <w:r>
        <w:rPr>
          <w:rFonts w:hint="eastAsia" w:ascii="仿宋" w:hAnsi="仿宋" w:eastAsia="仿宋"/>
          <w:color w:val="000000"/>
          <w:sz w:val="32"/>
          <w:szCs w:val="32"/>
        </w:rPr>
        <w:t>支出415万元，支持科技创新企业发展，落实专项奖励资金124万元，积极争创国家全域旅游示范区，成功举办双桥文化节、避暑山庄徒步大会等文体活动。</w:t>
      </w:r>
    </w:p>
    <w:p>
      <w:pPr>
        <w:spacing w:line="520" w:lineRule="exact"/>
        <w:ind w:firstLine="630" w:firstLineChars="196"/>
        <w:outlineLvl w:val="0"/>
        <w:rPr>
          <w:rFonts w:ascii="仿宋" w:hAnsi="仿宋" w:eastAsia="仿宋"/>
          <w:b/>
          <w:sz w:val="32"/>
          <w:szCs w:val="32"/>
        </w:rPr>
      </w:pPr>
      <w:r>
        <w:rPr>
          <w:rFonts w:hint="eastAsia" w:ascii="仿宋" w:hAnsi="仿宋" w:eastAsia="仿宋"/>
          <w:b/>
          <w:sz w:val="32"/>
          <w:szCs w:val="32"/>
        </w:rPr>
        <w:t>（三）</w:t>
      </w:r>
      <w:r>
        <w:rPr>
          <w:rFonts w:hint="eastAsia" w:ascii="仿宋" w:hAnsi="仿宋" w:eastAsia="仿宋"/>
          <w:b/>
          <w:bCs/>
          <w:sz w:val="32"/>
          <w:szCs w:val="32"/>
        </w:rPr>
        <w:t>支持</w:t>
      </w:r>
      <w:r>
        <w:rPr>
          <w:rFonts w:hint="eastAsia" w:ascii="仿宋" w:hAnsi="仿宋" w:eastAsia="仿宋"/>
          <w:b/>
          <w:sz w:val="32"/>
          <w:szCs w:val="32"/>
        </w:rPr>
        <w:t>基础建设，提升区域形象，主动作为优环境</w:t>
      </w:r>
    </w:p>
    <w:p>
      <w:pPr>
        <w:spacing w:line="520" w:lineRule="exact"/>
        <w:ind w:firstLine="627" w:firstLineChars="196"/>
        <w:rPr>
          <w:rFonts w:ascii="仿宋" w:hAnsi="仿宋" w:eastAsia="仿宋"/>
          <w:color w:val="000000"/>
          <w:sz w:val="32"/>
          <w:szCs w:val="32"/>
        </w:rPr>
      </w:pPr>
      <w:r>
        <w:rPr>
          <w:rFonts w:hint="eastAsia" w:ascii="仿宋" w:hAnsi="仿宋" w:eastAsia="仿宋"/>
          <w:sz w:val="32"/>
          <w:szCs w:val="32"/>
        </w:rPr>
        <w:t>着力提高城市发展质量，推进城市核心区改造升</w:t>
      </w:r>
      <w:r>
        <w:rPr>
          <w:rFonts w:hint="eastAsia" w:ascii="仿宋" w:hAnsi="仿宋" w:eastAsia="仿宋"/>
          <w:color w:val="000000"/>
          <w:sz w:val="32"/>
          <w:szCs w:val="32"/>
        </w:rPr>
        <w:t>级、</w:t>
      </w:r>
      <w:r>
        <w:rPr>
          <w:rFonts w:hint="eastAsia" w:ascii="仿宋" w:hAnsi="仿宋" w:eastAsia="仿宋"/>
          <w:sz w:val="32"/>
          <w:szCs w:val="32"/>
        </w:rPr>
        <w:t>市区道路整体改造</w:t>
      </w:r>
      <w:r>
        <w:rPr>
          <w:rFonts w:hint="eastAsia" w:ascii="仿宋" w:hAnsi="仿宋" w:eastAsia="仿宋"/>
          <w:color w:val="000000"/>
          <w:sz w:val="32"/>
          <w:szCs w:val="32"/>
        </w:rPr>
        <w:t>和</w:t>
      </w:r>
      <w:r>
        <w:rPr>
          <w:rFonts w:hint="eastAsia" w:ascii="仿宋" w:hAnsi="仿宋" w:eastAsia="仿宋"/>
          <w:sz w:val="32"/>
          <w:szCs w:val="32"/>
        </w:rPr>
        <w:t>重点街巷维修维护，</w:t>
      </w:r>
      <w:r>
        <w:rPr>
          <w:rFonts w:hint="eastAsia" w:ascii="仿宋" w:hAnsi="仿宋" w:eastAsia="仿宋"/>
          <w:color w:val="000000"/>
          <w:sz w:val="32"/>
          <w:szCs w:val="32"/>
        </w:rPr>
        <w:t>全区</w:t>
      </w:r>
      <w:r>
        <w:rPr>
          <w:rFonts w:hint="eastAsia" w:ascii="仿宋" w:hAnsi="仿宋" w:eastAsia="仿宋"/>
          <w:b/>
          <w:color w:val="000000"/>
          <w:sz w:val="32"/>
          <w:szCs w:val="32"/>
        </w:rPr>
        <w:t>城市基础设施建设</w:t>
      </w:r>
      <w:r>
        <w:rPr>
          <w:rFonts w:hint="eastAsia" w:ascii="仿宋" w:hAnsi="仿宋" w:eastAsia="仿宋"/>
          <w:color w:val="000000"/>
          <w:sz w:val="32"/>
          <w:szCs w:val="32"/>
        </w:rPr>
        <w:t>支出6605万元，庄头营东山路、贾营海关路主路和汇水湾大桥实现通车，改造老旧小区23个，建设污水分支管网10.9公里，新建改建水冲公厕37座，城市基础设施建设稳步推进，市区整体</w:t>
      </w:r>
      <w:r>
        <w:rPr>
          <w:rFonts w:hint="eastAsia" w:ascii="仿宋" w:hAnsi="仿宋" w:eastAsia="仿宋"/>
          <w:snapToGrid w:val="0"/>
          <w:color w:val="000000"/>
          <w:sz w:val="32"/>
          <w:szCs w:val="32"/>
        </w:rPr>
        <w:t>面貌焕然一新</w:t>
      </w:r>
      <w:r>
        <w:rPr>
          <w:rFonts w:hint="eastAsia" w:ascii="仿宋" w:hAnsi="仿宋" w:eastAsia="仿宋"/>
          <w:color w:val="000000"/>
          <w:sz w:val="32"/>
          <w:szCs w:val="32"/>
        </w:rPr>
        <w:t>；</w:t>
      </w:r>
      <w:r>
        <w:rPr>
          <w:rFonts w:hint="eastAsia" w:ascii="仿宋" w:hAnsi="仿宋" w:eastAsia="仿宋"/>
          <w:b/>
          <w:color w:val="000000"/>
          <w:sz w:val="32"/>
          <w:szCs w:val="32"/>
        </w:rPr>
        <w:t>城市管理</w:t>
      </w:r>
      <w:r>
        <w:rPr>
          <w:rFonts w:hint="eastAsia" w:ascii="仿宋" w:hAnsi="仿宋" w:eastAsia="仿宋"/>
          <w:color w:val="000000"/>
          <w:sz w:val="32"/>
          <w:szCs w:val="32"/>
        </w:rPr>
        <w:t>支出823万元，重点用于创建文明城市、改善城市面貌等全面整治工作，完成“双违”整治60余万平方米，启动105个老旧住宅小区物业管理标准化提升工程，城市品味和市容市貌有效提升；</w:t>
      </w:r>
      <w:r>
        <w:rPr>
          <w:rFonts w:hint="eastAsia" w:ascii="仿宋" w:hAnsi="仿宋" w:eastAsia="仿宋"/>
          <w:b/>
          <w:color w:val="000000"/>
          <w:sz w:val="32"/>
          <w:szCs w:val="32"/>
        </w:rPr>
        <w:t>环境卫生</w:t>
      </w:r>
      <w:r>
        <w:rPr>
          <w:rFonts w:hint="eastAsia" w:ascii="仿宋" w:hAnsi="仿宋" w:eastAsia="仿宋"/>
          <w:color w:val="000000"/>
          <w:sz w:val="32"/>
          <w:szCs w:val="32"/>
        </w:rPr>
        <w:t>支出9878万元，开展农村人居环境综合整治和垃圾治理专项行动，新修建垃圾转运站40座，购置定点垃圾收集车70辆，建设农村无害化卫生厕所2093座，农村人居环境持续改善，全区城乡环境卫生质量、城区宜居宜游水平</w:t>
      </w:r>
      <w:r>
        <w:rPr>
          <w:rFonts w:hint="eastAsia" w:ascii="仿宋" w:hAnsi="仿宋" w:eastAsia="仿宋"/>
          <w:bCs/>
          <w:color w:val="000000"/>
          <w:sz w:val="32"/>
          <w:szCs w:val="32"/>
        </w:rPr>
        <w:t>明显提高，</w:t>
      </w:r>
      <w:r>
        <w:rPr>
          <w:rFonts w:hint="eastAsia" w:ascii="仿宋" w:hAnsi="仿宋" w:eastAsia="仿宋" w:cs="宋体"/>
          <w:color w:val="000000"/>
          <w:sz w:val="32"/>
          <w:szCs w:val="32"/>
        </w:rPr>
        <w:t>充分发挥创城主力军作用，顺利获得创建国家文明城市提名资格。</w:t>
      </w:r>
    </w:p>
    <w:p>
      <w:pPr>
        <w:spacing w:line="520" w:lineRule="exact"/>
        <w:ind w:firstLine="643" w:firstLineChars="200"/>
        <w:outlineLvl w:val="0"/>
        <w:rPr>
          <w:rFonts w:ascii="仿宋" w:hAnsi="仿宋" w:eastAsia="仿宋"/>
          <w:b/>
          <w:sz w:val="32"/>
          <w:szCs w:val="32"/>
        </w:rPr>
      </w:pPr>
      <w:r>
        <w:rPr>
          <w:rFonts w:hint="eastAsia" w:ascii="仿宋" w:hAnsi="仿宋" w:eastAsia="仿宋"/>
          <w:b/>
          <w:sz w:val="32"/>
          <w:szCs w:val="32"/>
        </w:rPr>
        <w:t>（四）推进依法理财，加强全程管控，持续加力稳运行</w:t>
      </w:r>
    </w:p>
    <w:p>
      <w:pPr>
        <w:snapToGrid w:val="0"/>
        <w:spacing w:line="520" w:lineRule="exact"/>
        <w:ind w:firstLine="643"/>
        <w:rPr>
          <w:rFonts w:ascii="仿宋" w:hAnsi="仿宋" w:eastAsia="仿宋" w:cs="宋体"/>
          <w:color w:val="000000"/>
          <w:sz w:val="30"/>
          <w:szCs w:val="30"/>
        </w:rPr>
      </w:pPr>
      <w:r>
        <w:rPr>
          <w:rFonts w:hint="eastAsia" w:ascii="仿宋" w:hAnsi="仿宋" w:eastAsia="仿宋"/>
          <w:sz w:val="32"/>
          <w:szCs w:val="32"/>
        </w:rPr>
        <w:t>坚持依法行政、依法理财，不断完善管理机制，强化日常监管，全区财政保持平稳健康运行。</w:t>
      </w:r>
      <w:r>
        <w:rPr>
          <w:rFonts w:hint="eastAsia" w:ascii="仿宋" w:hAnsi="仿宋" w:eastAsia="仿宋"/>
          <w:b/>
          <w:color w:val="000000"/>
          <w:sz w:val="32"/>
          <w:szCs w:val="32"/>
        </w:rPr>
        <w:t>一是</w:t>
      </w:r>
      <w:r>
        <w:rPr>
          <w:rFonts w:hint="eastAsia" w:ascii="仿宋" w:hAnsi="仿宋" w:eastAsia="仿宋"/>
          <w:color w:val="000000"/>
          <w:sz w:val="32"/>
          <w:szCs w:val="32"/>
        </w:rPr>
        <w:t>狠抓预算执行，加大预决算公开力度。切实推进预决算公开工作，建立健全公开透明的预算制度，对全区57家部门预决算信息公开进行检查，按要求全部公开预决算信息。</w:t>
      </w:r>
      <w:r>
        <w:rPr>
          <w:rFonts w:hint="eastAsia" w:ascii="仿宋" w:hAnsi="仿宋" w:eastAsia="仿宋"/>
          <w:b/>
          <w:color w:val="000000"/>
          <w:sz w:val="32"/>
          <w:szCs w:val="32"/>
        </w:rPr>
        <w:t>二是</w:t>
      </w:r>
      <w:r>
        <w:rPr>
          <w:rFonts w:hint="eastAsia" w:ascii="仿宋" w:hAnsi="仿宋" w:eastAsia="仿宋"/>
          <w:color w:val="000000"/>
          <w:sz w:val="32"/>
          <w:szCs w:val="32"/>
        </w:rPr>
        <w:t>制定</w:t>
      </w:r>
      <w:r>
        <w:rPr>
          <w:rFonts w:hint="eastAsia" w:ascii="仿宋" w:hAnsi="仿宋" w:eastAsia="仿宋"/>
          <w:color w:val="000000"/>
          <w:sz w:val="30"/>
          <w:szCs w:val="30"/>
        </w:rPr>
        <w:t>本届政府和本年度《债务化解和风险处置预案》和《双桥区债务化解规划》，明确年度债务化解目标，争取新增专项债券资金3亿元，为加强我区基础设施建设，缓解财政支出压力，降低政府债务风险发挥了显著作用。</w:t>
      </w:r>
      <w:r>
        <w:rPr>
          <w:rFonts w:hint="eastAsia" w:ascii="仿宋" w:hAnsi="仿宋" w:eastAsia="仿宋"/>
          <w:b/>
          <w:color w:val="000000"/>
          <w:sz w:val="32"/>
          <w:szCs w:val="32"/>
        </w:rPr>
        <w:t>三是</w:t>
      </w:r>
      <w:r>
        <w:rPr>
          <w:rFonts w:hint="eastAsia" w:ascii="仿宋" w:hAnsi="仿宋" w:eastAsia="仿宋"/>
          <w:color w:val="000000"/>
          <w:sz w:val="32"/>
          <w:szCs w:val="32"/>
        </w:rPr>
        <w:t>加强项目投资评审，强化财政绩效监督。严格执行政府采购、投资评审工作制度，把提高财政资金使用效益贯彻财政工作始终，牢固树立“节俭就是增收”的理财观念，全年共评审项目350余项，评审金额5.8亿元，审定金额5.1亿元，审减金额0.7亿元，审减率13%。</w:t>
      </w:r>
    </w:p>
    <w:p>
      <w:pPr>
        <w:spacing w:line="520" w:lineRule="exact"/>
        <w:ind w:firstLine="640" w:firstLineChars="200"/>
        <w:rPr>
          <w:rFonts w:ascii="仿宋" w:hAnsi="仿宋" w:eastAsia="仿宋" w:cs="宋体"/>
          <w:sz w:val="24"/>
        </w:rPr>
      </w:pPr>
      <w:r>
        <w:rPr>
          <w:rFonts w:hint="eastAsia" w:ascii="仿宋" w:hAnsi="仿宋" w:eastAsia="仿宋" w:cs="宋体"/>
          <w:sz w:val="32"/>
          <w:szCs w:val="32"/>
        </w:rPr>
        <w:t>过去的一年，我们战胜了前所未有的困难和挑战，顶住了前所未有的压力和考验，成绩来之不易，是</w:t>
      </w:r>
      <w:r>
        <w:rPr>
          <w:rFonts w:hint="eastAsia" w:ascii="仿宋" w:hAnsi="仿宋" w:eastAsia="仿宋"/>
          <w:sz w:val="32"/>
          <w:szCs w:val="32"/>
        </w:rPr>
        <w:t>全区上下深入学习宣传贯彻党的十九大精神和坚持以习近平新时代中国特色社会主义思想引领航向的结果，是坚决落实省、市和区委各项决策部署的结果</w:t>
      </w:r>
      <w:r>
        <w:rPr>
          <w:rFonts w:hint="eastAsia" w:ascii="仿宋" w:hAnsi="仿宋" w:eastAsia="仿宋" w:cs="宋体"/>
          <w:sz w:val="32"/>
          <w:szCs w:val="32"/>
        </w:rPr>
        <w:t>，</w:t>
      </w:r>
      <w:r>
        <w:rPr>
          <w:rFonts w:hint="eastAsia" w:ascii="仿宋" w:hAnsi="仿宋" w:eastAsia="仿宋"/>
          <w:sz w:val="32"/>
          <w:szCs w:val="32"/>
        </w:rPr>
        <w:t>是区人大、区政协以及社会各界大力支持的结果</w:t>
      </w:r>
      <w:r>
        <w:rPr>
          <w:rFonts w:hint="eastAsia" w:ascii="仿宋" w:hAnsi="仿宋" w:eastAsia="仿宋" w:cs="宋体"/>
          <w:sz w:val="32"/>
          <w:szCs w:val="32"/>
        </w:rPr>
        <w:t>。在总结成绩的同时，我们也清醒地看到，当前面临的困难和挑战依然较多。主要表现在：受上下级财政体制影响较深，债务包袱巨大，资金调度愈加困难，可用财力增长缓慢，财政刚性支出快速增长，收支矛盾日趋尖锐；社会保障、公共服务水平不够高，与人民群众期盼还有一定差距；对这些问题，我们一定高度重视，进一步解放思想、改革创新，努力把各项工作做得更好。</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二、2019年财政预算安排情况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2019年是新中国成立70周年，是全面建成小康社会关键之年，</w:t>
      </w:r>
      <w:r>
        <w:rPr>
          <w:rFonts w:hint="eastAsia" w:ascii="仿宋" w:hAnsi="仿宋" w:eastAsia="仿宋" w:cs="宋体"/>
          <w:sz w:val="32"/>
          <w:szCs w:val="32"/>
        </w:rPr>
        <w:t>做好全年财政经济工作</w:t>
      </w:r>
      <w:r>
        <w:rPr>
          <w:rFonts w:hint="eastAsia" w:ascii="仿宋" w:hAnsi="仿宋" w:eastAsia="仿宋"/>
          <w:sz w:val="32"/>
          <w:szCs w:val="32"/>
        </w:rPr>
        <w:t>，</w:t>
      </w:r>
      <w:r>
        <w:rPr>
          <w:rFonts w:hint="eastAsia" w:ascii="仿宋" w:hAnsi="仿宋" w:eastAsia="仿宋" w:cs="宋体"/>
          <w:sz w:val="32"/>
          <w:szCs w:val="32"/>
        </w:rPr>
        <w:t>既面临严峻挑战，又面临重大机遇。从收入看，受上下级财政体制和减税降费等政策影响，本级财政增收难度很大。从支出看，</w:t>
      </w:r>
      <w:r>
        <w:rPr>
          <w:rFonts w:hint="eastAsia" w:ascii="仿宋" w:hAnsi="仿宋" w:eastAsia="仿宋"/>
          <w:sz w:val="32"/>
          <w:szCs w:val="32"/>
        </w:rPr>
        <w:t>受执行各项人员增资政策</w:t>
      </w:r>
      <w:r>
        <w:rPr>
          <w:rFonts w:hint="eastAsia" w:ascii="仿宋" w:hAnsi="仿宋" w:eastAsia="仿宋"/>
          <w:color w:val="000000"/>
          <w:sz w:val="32"/>
          <w:szCs w:val="32"/>
        </w:rPr>
        <w:t>、</w:t>
      </w:r>
      <w:r>
        <w:rPr>
          <w:rFonts w:hint="eastAsia" w:ascii="仿宋" w:hAnsi="仿宋" w:eastAsia="仿宋"/>
          <w:sz w:val="32"/>
          <w:szCs w:val="32"/>
        </w:rPr>
        <w:t>各项民生政策支出标准提高和政府债务还本付息高峰期到来等各项刚性支出叠加因素影响，财政收支矛盾异常突出。</w:t>
      </w:r>
    </w:p>
    <w:p>
      <w:pPr>
        <w:spacing w:line="520" w:lineRule="exact"/>
        <w:ind w:firstLine="643" w:firstLineChars="200"/>
        <w:outlineLvl w:val="0"/>
        <w:rPr>
          <w:rFonts w:ascii="仿宋" w:hAnsi="仿宋" w:eastAsia="仿宋" w:cs="宋体"/>
          <w:b/>
          <w:color w:val="000000"/>
          <w:sz w:val="32"/>
          <w:szCs w:val="32"/>
        </w:rPr>
      </w:pPr>
      <w:r>
        <w:rPr>
          <w:rFonts w:hint="eastAsia" w:ascii="仿宋" w:hAnsi="仿宋" w:eastAsia="仿宋" w:cs="宋体"/>
          <w:b/>
          <w:color w:val="000000"/>
          <w:sz w:val="32"/>
          <w:szCs w:val="32"/>
        </w:rPr>
        <w:t>（一）2019年预算编制指导思想</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全面贯彻党的十九大精神，以习近平新时代中国特色社会主义思想为统领，认真落实省委省政府、市委市政府和区委的决策部署，坚持稳中求进工作总基调，坚持新发展理念和高质量发展，坚持以人民为中心的发展思想，坚持走生态优先、绿色发展之路，统筹推进稳增长、抓项目、强管理、惠民生、促改革、防风险各项工作，为开创新时代建设活力之城、幸福双桥新局面而不懈努力。</w:t>
      </w:r>
    </w:p>
    <w:p>
      <w:pPr>
        <w:spacing w:line="520" w:lineRule="exact"/>
        <w:ind w:firstLine="645"/>
        <w:outlineLvl w:val="0"/>
        <w:rPr>
          <w:rFonts w:ascii="仿宋" w:hAnsi="仿宋" w:eastAsia="仿宋"/>
          <w:b/>
          <w:sz w:val="32"/>
          <w:szCs w:val="32"/>
        </w:rPr>
      </w:pPr>
      <w:r>
        <w:rPr>
          <w:rFonts w:hint="eastAsia" w:ascii="仿宋" w:hAnsi="仿宋" w:eastAsia="仿宋"/>
          <w:b/>
          <w:sz w:val="32"/>
          <w:szCs w:val="32"/>
        </w:rPr>
        <w:t>（二）2019年财政预算草案</w:t>
      </w:r>
    </w:p>
    <w:p>
      <w:pPr>
        <w:spacing w:line="520" w:lineRule="exact"/>
        <w:ind w:firstLine="645"/>
        <w:rPr>
          <w:rFonts w:ascii="仿宋" w:hAnsi="仿宋" w:eastAsia="仿宋"/>
          <w:color w:val="000000" w:themeColor="text1"/>
          <w:sz w:val="32"/>
          <w:szCs w:val="32"/>
        </w:rPr>
      </w:pPr>
      <w:r>
        <w:rPr>
          <w:rFonts w:hint="eastAsia" w:ascii="仿宋" w:hAnsi="仿宋" w:eastAsia="仿宋"/>
          <w:color w:val="000000" w:themeColor="text1"/>
          <w:sz w:val="32"/>
          <w:szCs w:val="32"/>
        </w:rPr>
        <w:t>综合考虑全区经济发展形势和政策性增减收因素，</w:t>
      </w:r>
      <w:r>
        <w:rPr>
          <w:rFonts w:hint="eastAsia" w:ascii="仿宋" w:hAnsi="仿宋" w:eastAsia="仿宋" w:cs="仿宋_GB2312"/>
          <w:color w:val="000000" w:themeColor="text1"/>
          <w:sz w:val="32"/>
          <w:szCs w:val="32"/>
        </w:rPr>
        <w:t>2019年全区全部财政收入拟安排34.7亿元，其中：区级公共财政预算收入拟安排16.8亿元，增长6.5%。根据现行的财政体制测算，全区2019年一般公共预算当年财力约为100000万元（其中含预计下达生态功能区转移），</w:t>
      </w:r>
      <w:r>
        <w:rPr>
          <w:rFonts w:hint="eastAsia" w:ascii="仿宋" w:hAnsi="仿宋" w:eastAsia="仿宋"/>
          <w:color w:val="000000" w:themeColor="text1"/>
          <w:sz w:val="32"/>
          <w:szCs w:val="32"/>
        </w:rPr>
        <w:t>为实现当年财政收支平衡，保证全区运转及民生政策支出需要，安排调入政府性基金243000万元，</w:t>
      </w:r>
      <w:r>
        <w:rPr>
          <w:rFonts w:hint="eastAsia" w:ascii="仿宋" w:hAnsi="仿宋" w:eastAsia="仿宋" w:cs="仿宋_GB2312"/>
          <w:color w:val="000000" w:themeColor="text1"/>
          <w:sz w:val="32"/>
          <w:szCs w:val="32"/>
        </w:rPr>
        <w:t>全区当年公共预算可用财力为343000万元，为提高预算编制的完整性，</w:t>
      </w:r>
      <w:r>
        <w:rPr>
          <w:rFonts w:hint="eastAsia" w:ascii="仿宋" w:hAnsi="仿宋" w:eastAsia="仿宋"/>
          <w:color w:val="000000" w:themeColor="text1"/>
          <w:sz w:val="32"/>
          <w:szCs w:val="32"/>
        </w:rPr>
        <w:t>根据上级财政部门提前下达的一般转移支付和专项转移支付情况，安排提前下达转移支付资金支出9787万元，安排上年结转资金支出28005</w:t>
      </w:r>
      <w:r>
        <w:rPr>
          <w:rFonts w:hint="eastAsia" w:ascii="仿宋" w:hAnsi="仿宋" w:eastAsia="仿宋" w:cs="仿宋_GB2312"/>
          <w:color w:val="000000" w:themeColor="text1"/>
          <w:sz w:val="32"/>
          <w:szCs w:val="32"/>
        </w:rPr>
        <w:t>万元（其中：调入预算稳定调节基金安排的转移支付支出14863万元，上年结转的转移支付资金13142万元），全区公共财政预算支出拟安排380792万元，</w:t>
      </w:r>
      <w:r>
        <w:rPr>
          <w:rFonts w:hint="eastAsia" w:ascii="仿宋" w:hAnsi="仿宋" w:eastAsia="仿宋"/>
          <w:color w:val="000000" w:themeColor="text1"/>
          <w:sz w:val="32"/>
          <w:szCs w:val="32"/>
        </w:rPr>
        <w:t>财政收支平衡； 2019年基金预算收入拟安排6000万元，根据目前上级下达和预计下达的政府性基金转移支付情况，2019年安排政府性基金转移支付支出247235万元，安排上年结转政府性基金支出17975万元，全区政府性基金预算支出拟安排265610万元(不含上解市级5600万)，政府性基金收支平衡；2019年社会保险基金预算收入拟安排57760万元 ，安排上年结转社保基金支出47022万元，社会保险基金支出拟安排77693万元，社会保险基金结余27089万元。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整体来看，</w:t>
      </w:r>
      <w:r>
        <w:rPr>
          <w:rFonts w:hint="eastAsia" w:ascii="仿宋" w:hAnsi="仿宋" w:eastAsia="仿宋"/>
          <w:color w:val="000000"/>
          <w:sz w:val="32"/>
          <w:szCs w:val="32"/>
        </w:rPr>
        <w:t>受落实全区公教人员各项增资政策、政府债和隐性债还本付息增加、环保项目支出增加等增支因素影响</w:t>
      </w:r>
      <w:r>
        <w:rPr>
          <w:rFonts w:hint="eastAsia" w:ascii="仿宋" w:hAnsi="仿宋" w:eastAsia="仿宋"/>
          <w:sz w:val="32"/>
          <w:szCs w:val="32"/>
        </w:rPr>
        <w:t>，今年预算平衡压力和困难远超往年。为更好地保障区委区政府决策部署的落实，我们认真研究改革要求、支出政策，逐项梳理存量项目，深入分析增支需求，预算安排中采取了调整结构、强化统筹、整合资金、跨年度安排、争取上级支持多项措施，突出把握了五个重点：</w:t>
      </w:r>
      <w:r>
        <w:rPr>
          <w:rFonts w:hint="eastAsia" w:ascii="仿宋" w:hAnsi="仿宋" w:eastAsia="仿宋"/>
          <w:b/>
          <w:sz w:val="32"/>
          <w:szCs w:val="32"/>
        </w:rPr>
        <w:t>一是</w:t>
      </w:r>
      <w:r>
        <w:rPr>
          <w:rFonts w:hint="eastAsia" w:ascii="仿宋" w:hAnsi="仿宋" w:eastAsia="仿宋"/>
          <w:sz w:val="32"/>
          <w:szCs w:val="32"/>
        </w:rPr>
        <w:t>人员工资及社会保障缴费支出足额安排，并预留资金用于预计执行的各项增资政策。</w:t>
      </w:r>
      <w:r>
        <w:rPr>
          <w:rFonts w:hint="eastAsia" w:ascii="仿宋" w:hAnsi="仿宋" w:eastAsia="仿宋"/>
          <w:b/>
          <w:sz w:val="32"/>
          <w:szCs w:val="32"/>
        </w:rPr>
        <w:t>二是</w:t>
      </w:r>
      <w:r>
        <w:rPr>
          <w:rFonts w:hint="eastAsia" w:ascii="仿宋" w:hAnsi="仿宋" w:eastAsia="仿宋"/>
          <w:sz w:val="32"/>
          <w:szCs w:val="32"/>
        </w:rPr>
        <w:t>机关运转按标准足额保障。</w:t>
      </w:r>
      <w:r>
        <w:rPr>
          <w:rFonts w:hint="eastAsia" w:ascii="仿宋" w:hAnsi="仿宋" w:eastAsia="仿宋"/>
          <w:b/>
          <w:sz w:val="32"/>
          <w:szCs w:val="32"/>
        </w:rPr>
        <w:t>三是</w:t>
      </w:r>
      <w:r>
        <w:rPr>
          <w:rFonts w:hint="eastAsia" w:ascii="仿宋" w:hAnsi="仿宋" w:eastAsia="仿宋"/>
          <w:sz w:val="32"/>
          <w:szCs w:val="32"/>
        </w:rPr>
        <w:t>民生支出全力保障，国家明确要求的提标扩面资金、区级确定的民生政策支出全部安排。</w:t>
      </w:r>
      <w:r>
        <w:rPr>
          <w:rFonts w:hint="eastAsia" w:ascii="仿宋" w:hAnsi="仿宋" w:eastAsia="仿宋"/>
          <w:b/>
          <w:sz w:val="32"/>
          <w:szCs w:val="32"/>
        </w:rPr>
        <w:t>四是</w:t>
      </w:r>
      <w:r>
        <w:rPr>
          <w:rFonts w:hint="eastAsia" w:ascii="仿宋" w:hAnsi="仿宋" w:eastAsia="仿宋"/>
          <w:sz w:val="32"/>
          <w:szCs w:val="32"/>
        </w:rPr>
        <w:t>债券还本付息和政府隐性债务化解支出按要求列入预算，严格落实中央“防风险”工作要求。</w:t>
      </w:r>
      <w:r>
        <w:rPr>
          <w:rFonts w:hint="eastAsia" w:ascii="仿宋" w:hAnsi="仿宋" w:eastAsia="仿宋"/>
          <w:b/>
          <w:sz w:val="32"/>
          <w:szCs w:val="32"/>
        </w:rPr>
        <w:t>五是</w:t>
      </w:r>
      <w:r>
        <w:rPr>
          <w:rFonts w:hint="eastAsia" w:ascii="仿宋" w:hAnsi="仿宋" w:eastAsia="仿宋"/>
          <w:sz w:val="32"/>
          <w:szCs w:val="32"/>
        </w:rPr>
        <w:t>部门事业支出合理安排，事业发展延续性的必需支出继续安排，特殊项目分年度安排。通过上述措施，人员支出、民生政策以及部门事业发展的必需支出等得到较好保障。恳请各位代表予以审查，提出意见。</w:t>
      </w:r>
    </w:p>
    <w:p>
      <w:pPr>
        <w:spacing w:line="520" w:lineRule="exact"/>
        <w:ind w:firstLine="643" w:firstLineChars="200"/>
        <w:outlineLvl w:val="0"/>
        <w:rPr>
          <w:rFonts w:ascii="仿宋" w:hAnsi="仿宋" w:eastAsia="仿宋"/>
          <w:b/>
          <w:sz w:val="32"/>
          <w:szCs w:val="32"/>
        </w:rPr>
      </w:pPr>
      <w:r>
        <w:rPr>
          <w:rFonts w:hint="eastAsia" w:ascii="仿宋" w:hAnsi="仿宋" w:eastAsia="仿宋"/>
          <w:b/>
          <w:sz w:val="32"/>
          <w:szCs w:val="32"/>
        </w:rPr>
        <w:t>三、奋发图强，扎扎实实做好2019年财政工作</w:t>
      </w:r>
    </w:p>
    <w:p>
      <w:pPr>
        <w:spacing w:line="520" w:lineRule="exact"/>
        <w:ind w:firstLine="640" w:firstLineChars="200"/>
        <w:rPr>
          <w:rFonts w:ascii="仿宋" w:hAnsi="仿宋" w:eastAsia="仿宋" w:cs="宋体"/>
          <w:sz w:val="24"/>
        </w:rPr>
      </w:pPr>
      <w:r>
        <w:rPr>
          <w:rFonts w:hint="eastAsia" w:ascii="仿宋" w:hAnsi="仿宋" w:eastAsia="仿宋" w:cs="宋体"/>
          <w:sz w:val="32"/>
          <w:szCs w:val="32"/>
        </w:rPr>
        <w:t>（一）</w:t>
      </w:r>
      <w:r>
        <w:rPr>
          <w:rFonts w:hint="eastAsia" w:ascii="仿宋" w:hAnsi="仿宋" w:eastAsia="仿宋" w:cs="宋体"/>
          <w:b/>
          <w:sz w:val="32"/>
          <w:szCs w:val="32"/>
        </w:rPr>
        <w:t>进一步推进依法理财。</w:t>
      </w:r>
      <w:r>
        <w:rPr>
          <w:rFonts w:hint="eastAsia" w:ascii="仿宋" w:hAnsi="仿宋" w:eastAsia="仿宋" w:cs="宋体"/>
          <w:sz w:val="32"/>
          <w:szCs w:val="32"/>
        </w:rPr>
        <w:t>根据相关财政规章，健全配套制度办法，逐步建立较为完善的现代地方财政制度体系。严格执行</w:t>
      </w:r>
      <w:r>
        <w:rPr>
          <w:rFonts w:hint="eastAsia" w:ascii="仿宋" w:hAnsi="仿宋" w:eastAsia="仿宋" w:cs="宋体"/>
          <w:color w:val="000000"/>
          <w:sz w:val="32"/>
          <w:szCs w:val="32"/>
        </w:rPr>
        <w:t>《中华人民共和国预算法》</w:t>
      </w:r>
      <w:r>
        <w:rPr>
          <w:rFonts w:hint="eastAsia" w:ascii="仿宋" w:hAnsi="仿宋" w:eastAsia="仿宋" w:cs="宋体"/>
          <w:sz w:val="32"/>
          <w:szCs w:val="32"/>
        </w:rPr>
        <w:t>等各项规定，进一步强化预算约束，严格按法定时限下达资金，按规定用途拨付和使用财政资金，加强预算执行管理，加快财政支出进度，最大限度发挥财政支出对经济社会发展的拉动作用；认真做好收入形势分析研判，依法加强税费征管，创新税源管控模式，提升纳税服务水平，开展重点领域专项治理，严厉打击各种偷逃骗税行为，创造公平公正的税收环境，推动全区收入合理增长。</w:t>
      </w:r>
    </w:p>
    <w:p>
      <w:pPr>
        <w:spacing w:line="520" w:lineRule="exact"/>
        <w:ind w:firstLine="640" w:firstLineChars="200"/>
        <w:rPr>
          <w:rFonts w:ascii="仿宋" w:hAnsi="仿宋" w:eastAsia="仿宋" w:cs="宋体"/>
          <w:sz w:val="24"/>
        </w:rPr>
      </w:pPr>
      <w:r>
        <w:rPr>
          <w:rFonts w:hint="eastAsia" w:ascii="仿宋" w:hAnsi="仿宋" w:eastAsia="仿宋" w:cs="宋体"/>
          <w:sz w:val="32"/>
          <w:szCs w:val="32"/>
        </w:rPr>
        <w:t>（二）</w:t>
      </w:r>
      <w:r>
        <w:rPr>
          <w:rFonts w:hint="eastAsia" w:ascii="仿宋" w:hAnsi="仿宋" w:eastAsia="仿宋" w:cs="宋体"/>
          <w:b/>
          <w:sz w:val="32"/>
          <w:szCs w:val="32"/>
        </w:rPr>
        <w:t>加大财政政策实施力度。</w:t>
      </w:r>
      <w:r>
        <w:rPr>
          <w:rFonts w:hint="eastAsia" w:ascii="仿宋" w:hAnsi="仿宋" w:eastAsia="仿宋" w:cs="宋体"/>
          <w:sz w:val="32"/>
          <w:szCs w:val="32"/>
        </w:rPr>
        <w:t>以供给侧结构性改革为主线，认真落实国家减税降费政策，进一步减轻企业负担，支持实体经济加快发展。紧紧围绕协同发展、改革创新等市、区重点部署，积极对接上级政策，紧密结合我区实际，精准谋划平台和抓手，争取省市在转移支付、债券额度等方面，加大对我区的支持力度。进一步优化财政支出结构，强化整合统筹，突出支持重点，提高资金配置效率，集中保障市、区重点决策部署落实。积极创新财政投入方式，通过PPP模式、股权投资、融资租赁政策等多种方式，发挥财政资金“四两拨千斤”作用，撬动金融资本、社会资本投入，激发社会投资活力。</w:t>
      </w:r>
    </w:p>
    <w:p>
      <w:pPr>
        <w:spacing w:line="520" w:lineRule="exact"/>
        <w:ind w:firstLine="482" w:firstLineChars="150"/>
        <w:rPr>
          <w:rFonts w:ascii="仿宋" w:hAnsi="仿宋" w:eastAsia="仿宋"/>
          <w:color w:val="000000"/>
          <w:sz w:val="32"/>
          <w:szCs w:val="32"/>
        </w:rPr>
      </w:pPr>
      <w:r>
        <w:rPr>
          <w:rFonts w:hint="eastAsia" w:ascii="仿宋" w:hAnsi="仿宋" w:eastAsia="仿宋"/>
          <w:b/>
          <w:sz w:val="32"/>
          <w:szCs w:val="32"/>
        </w:rPr>
        <w:t>（三）</w:t>
      </w:r>
      <w:r>
        <w:rPr>
          <w:rFonts w:hint="eastAsia" w:ascii="仿宋" w:hAnsi="仿宋" w:eastAsia="仿宋" w:cs="宋体"/>
          <w:b/>
          <w:sz w:val="32"/>
          <w:szCs w:val="32"/>
        </w:rPr>
        <w:t>全力保障和改善民生，促进各项社会事业发展。</w:t>
      </w:r>
      <w:r>
        <w:rPr>
          <w:rFonts w:ascii="仿宋" w:hAnsi="仿宋" w:eastAsia="仿宋" w:cs="Arial"/>
          <w:color w:val="000000"/>
          <w:sz w:val="32"/>
          <w:szCs w:val="32"/>
        </w:rPr>
        <w:t>继续加大对民生领域的财政投入，统筹经济和社会协调发展，切实解决关系群众切身利益的问题。</w:t>
      </w:r>
      <w:r>
        <w:rPr>
          <w:rFonts w:hint="eastAsia" w:ascii="仿宋" w:hAnsi="仿宋" w:eastAsia="仿宋" w:cs="宋体"/>
          <w:color w:val="000000"/>
          <w:sz w:val="32"/>
          <w:szCs w:val="32"/>
        </w:rPr>
        <w:t>2019年全区民生支出安排142364万元，占全区公共财政预算支出的37%。</w:t>
      </w:r>
      <w:r>
        <w:rPr>
          <w:rFonts w:hint="eastAsia" w:ascii="仿宋" w:hAnsi="仿宋" w:eastAsia="仿宋"/>
          <w:b/>
          <w:color w:val="000000"/>
          <w:sz w:val="32"/>
          <w:szCs w:val="32"/>
        </w:rPr>
        <w:t>一是</w:t>
      </w:r>
      <w:r>
        <w:rPr>
          <w:rFonts w:hint="eastAsia" w:ascii="仿宋" w:hAnsi="仿宋" w:eastAsia="仿宋"/>
          <w:color w:val="000000"/>
          <w:sz w:val="32"/>
          <w:szCs w:val="32"/>
        </w:rPr>
        <w:t>保障全区公教人员工资性、奖励性支出和全区城乡、企业社会保障缴费支出安排99330万元，占区本级可用财力29%。</w:t>
      </w:r>
      <w:r>
        <w:rPr>
          <w:rFonts w:hint="eastAsia" w:ascii="仿宋" w:hAnsi="仿宋" w:eastAsia="仿宋"/>
          <w:b/>
          <w:color w:val="000000"/>
          <w:sz w:val="32"/>
          <w:szCs w:val="32"/>
        </w:rPr>
        <w:t>二是</w:t>
      </w:r>
      <w:r>
        <w:rPr>
          <w:rFonts w:hint="eastAsia" w:ascii="仿宋" w:hAnsi="仿宋" w:eastAsia="仿宋"/>
          <w:color w:val="000000"/>
          <w:sz w:val="32"/>
          <w:szCs w:val="32"/>
        </w:rPr>
        <w:t>全面落实社会保障政策，社会保障和就业支出安排46554万元，安排财政对社会保障缴费支出32411万元，安排抚恤、义务兵优待金、老龄补贴1051万元，足额落实优抚和社会福利政策。</w:t>
      </w:r>
      <w:r>
        <w:rPr>
          <w:rFonts w:hint="eastAsia" w:ascii="仿宋" w:hAnsi="仿宋" w:eastAsia="仿宋"/>
          <w:b/>
          <w:color w:val="000000"/>
          <w:sz w:val="32"/>
          <w:szCs w:val="32"/>
        </w:rPr>
        <w:t>三是</w:t>
      </w:r>
      <w:r>
        <w:rPr>
          <w:rFonts w:hint="eastAsia" w:ascii="仿宋" w:hAnsi="仿宋" w:eastAsia="仿宋"/>
          <w:color w:val="000000"/>
          <w:sz w:val="32"/>
          <w:szCs w:val="32"/>
        </w:rPr>
        <w:t>教育支出安排36175万元，安排新建双峰寺寄宿制学校、老西营小学、现代城小学三所新建学校支出9000万元，安排新建校教学设备购置500万元，继续深化义务教育经费保障机制改革，</w:t>
      </w:r>
      <w:r>
        <w:rPr>
          <w:rFonts w:hint="eastAsia" w:ascii="仿宋" w:hAnsi="仿宋" w:eastAsia="仿宋" w:cs="Arial"/>
          <w:color w:val="000000"/>
          <w:sz w:val="32"/>
          <w:szCs w:val="32"/>
        </w:rPr>
        <w:t>进一步强化师资队伍建设，提升教学质量</w:t>
      </w:r>
      <w:r>
        <w:rPr>
          <w:rFonts w:hint="eastAsia" w:ascii="仿宋" w:hAnsi="仿宋" w:eastAsia="仿宋"/>
          <w:color w:val="000000"/>
          <w:sz w:val="32"/>
          <w:szCs w:val="32"/>
        </w:rPr>
        <w:t>，加大力度推进教育基础设施建设。</w:t>
      </w:r>
      <w:r>
        <w:rPr>
          <w:rFonts w:hint="eastAsia" w:ascii="仿宋" w:hAnsi="仿宋" w:eastAsia="仿宋"/>
          <w:b/>
          <w:color w:val="000000"/>
          <w:sz w:val="32"/>
          <w:szCs w:val="32"/>
        </w:rPr>
        <w:t>四是</w:t>
      </w:r>
      <w:r>
        <w:rPr>
          <w:rFonts w:hint="eastAsia" w:ascii="仿宋" w:hAnsi="仿宋" w:eastAsia="仿宋"/>
          <w:color w:val="000000"/>
          <w:sz w:val="32"/>
          <w:szCs w:val="32"/>
        </w:rPr>
        <w:t>医疗卫生支出安排7760万元，全力保障各项医疗卫生政策全面开展，足额落实各项医疗卫生政策。</w:t>
      </w:r>
      <w:r>
        <w:rPr>
          <w:rFonts w:hint="eastAsia" w:ascii="仿宋" w:hAnsi="仿宋" w:eastAsia="仿宋"/>
          <w:b/>
          <w:color w:val="000000"/>
          <w:sz w:val="32"/>
          <w:szCs w:val="32"/>
        </w:rPr>
        <w:t>五是</w:t>
      </w:r>
      <w:r>
        <w:rPr>
          <w:rFonts w:hint="eastAsia" w:ascii="仿宋" w:hAnsi="仿宋" w:eastAsia="仿宋"/>
          <w:color w:val="000000"/>
          <w:sz w:val="32"/>
          <w:szCs w:val="32"/>
        </w:rPr>
        <w:t>农林水事务支出安排3664万元。积极贯彻各项惠农政策，支持农村卫生长效机制、休闲观光农业奖补、林业防灾减灾、村级一事一议财政奖补和基层党组织建设，确保各项涉农补贴足额按时发放。</w:t>
      </w:r>
      <w:r>
        <w:rPr>
          <w:rFonts w:hint="eastAsia" w:ascii="仿宋" w:hAnsi="仿宋" w:eastAsia="仿宋"/>
          <w:b/>
          <w:color w:val="000000"/>
          <w:sz w:val="32"/>
          <w:szCs w:val="32"/>
        </w:rPr>
        <w:t>六是</w:t>
      </w:r>
      <w:r>
        <w:rPr>
          <w:rFonts w:hint="eastAsia" w:ascii="仿宋" w:hAnsi="仿宋" w:eastAsia="仿宋"/>
          <w:color w:val="000000"/>
          <w:sz w:val="32"/>
          <w:szCs w:val="32"/>
        </w:rPr>
        <w:t>城乡社区建设支出安排26291万元。积极开展环境综合整治，环卫市场化运作安排支出6357万元，进一步提靓城乡面貌，助力美丽乡村建设，打造洁净城区。</w:t>
      </w:r>
    </w:p>
    <w:p>
      <w:pPr>
        <w:spacing w:line="520" w:lineRule="exact"/>
        <w:ind w:firstLine="643" w:firstLineChars="200"/>
        <w:rPr>
          <w:rFonts w:ascii="仿宋" w:hAnsi="仿宋" w:eastAsia="仿宋" w:cs="宋体"/>
          <w:sz w:val="24"/>
        </w:rPr>
      </w:pPr>
      <w:r>
        <w:rPr>
          <w:rFonts w:hint="eastAsia" w:ascii="仿宋" w:hAnsi="仿宋" w:eastAsia="仿宋" w:cs="宋体"/>
          <w:b/>
          <w:sz w:val="32"/>
          <w:szCs w:val="32"/>
        </w:rPr>
        <w:t>（四）有效防控财政运行风险。</w:t>
      </w:r>
      <w:r>
        <w:rPr>
          <w:rFonts w:hint="eastAsia" w:ascii="仿宋" w:hAnsi="仿宋" w:eastAsia="仿宋" w:cs="宋体"/>
          <w:sz w:val="32"/>
          <w:szCs w:val="32"/>
        </w:rPr>
        <w:t>加强政府性债务管控，完善政府性债务风险应急处置机制，依法依规安排政府债务及隐性债务还本付息资金17.09亿元，努力做好债务风险化解相关工作，确保不出现系统性区域性债务风险。同时，积极优化政府性债务结构，用好政府新增债券和再融资债券政策，更好发挥稳增长作用。密切关注财经运行，加强收入、支出、库款状况监控分析，及时识别、预警、处置风险，保障本级财政平稳健康运行。</w:t>
      </w:r>
    </w:p>
    <w:p>
      <w:pPr>
        <w:spacing w:line="520" w:lineRule="exact"/>
        <w:ind w:firstLine="643" w:firstLineChars="200"/>
        <w:rPr>
          <w:rFonts w:ascii="仿宋" w:hAnsi="仿宋" w:eastAsia="仿宋" w:cs="宋体"/>
          <w:sz w:val="24"/>
        </w:rPr>
      </w:pPr>
      <w:r>
        <w:rPr>
          <w:rFonts w:hint="eastAsia" w:ascii="仿宋" w:hAnsi="仿宋" w:eastAsia="仿宋" w:cs="宋体"/>
          <w:b/>
          <w:sz w:val="32"/>
          <w:szCs w:val="32"/>
        </w:rPr>
        <w:t>（五）切实维护财经纪律。</w:t>
      </w:r>
      <w:r>
        <w:rPr>
          <w:rFonts w:hint="eastAsia" w:ascii="仿宋" w:hAnsi="仿宋" w:eastAsia="仿宋" w:cs="宋体"/>
          <w:sz w:val="32"/>
          <w:szCs w:val="32"/>
        </w:rPr>
        <w:t>加强对重大政策落实及重点资金使用情况的绩效监督，强化财政监督检查和专项整治。对巡视、审计和监督发现的问题，认真整改落实，完善内控制度，健全长效机制，规范理财行为；强化责任追究，对各种违规违纪行为，依照相关法律法规严肃处理。进一步加强预算公开，严格落实公开要求，主动接受人大和社会监督，提高财政政策资金使用管理透明度。</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各位代表，</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w:t>
      </w:r>
      <w:r>
        <w:rPr>
          <w:rFonts w:hint="eastAsia" w:ascii="仿宋" w:hAnsi="仿宋" w:eastAsia="仿宋"/>
          <w:sz w:val="32"/>
          <w:szCs w:val="32"/>
        </w:rPr>
        <w:t>财政工作</w:t>
      </w:r>
      <w:r>
        <w:rPr>
          <w:rFonts w:ascii="仿宋" w:hAnsi="仿宋" w:eastAsia="仿宋"/>
          <w:sz w:val="32"/>
          <w:szCs w:val="32"/>
        </w:rPr>
        <w:t>任务艰巨而繁重，</w:t>
      </w:r>
      <w:r>
        <w:rPr>
          <w:rFonts w:ascii="仿宋" w:hAnsi="仿宋" w:eastAsia="仿宋" w:cs="宋体"/>
          <w:sz w:val="32"/>
          <w:szCs w:val="32"/>
        </w:rPr>
        <w:t>顺利完成201</w:t>
      </w:r>
      <w:r>
        <w:rPr>
          <w:rFonts w:hint="eastAsia" w:ascii="仿宋" w:hAnsi="仿宋" w:eastAsia="仿宋" w:cs="宋体"/>
          <w:sz w:val="32"/>
          <w:szCs w:val="32"/>
        </w:rPr>
        <w:t>9</w:t>
      </w:r>
      <w:r>
        <w:rPr>
          <w:rFonts w:ascii="仿宋" w:hAnsi="仿宋" w:eastAsia="仿宋" w:cs="宋体"/>
          <w:sz w:val="32"/>
          <w:szCs w:val="32"/>
        </w:rPr>
        <w:t>年财政预算，对贯彻落实</w:t>
      </w:r>
      <w:r>
        <w:rPr>
          <w:rFonts w:hint="eastAsia" w:ascii="仿宋" w:hAnsi="仿宋" w:eastAsia="仿宋" w:cs="宋体"/>
          <w:sz w:val="32"/>
          <w:szCs w:val="32"/>
        </w:rPr>
        <w:t>全区</w:t>
      </w:r>
      <w:r>
        <w:rPr>
          <w:rFonts w:ascii="仿宋" w:hAnsi="仿宋" w:eastAsia="仿宋" w:cs="宋体"/>
          <w:sz w:val="32"/>
          <w:szCs w:val="32"/>
        </w:rPr>
        <w:t>的</w:t>
      </w:r>
      <w:r>
        <w:rPr>
          <w:rFonts w:hint="eastAsia" w:ascii="仿宋" w:hAnsi="仿宋" w:eastAsia="仿宋" w:cs="宋体"/>
          <w:sz w:val="32"/>
          <w:szCs w:val="32"/>
        </w:rPr>
        <w:t>各项</w:t>
      </w:r>
      <w:r>
        <w:rPr>
          <w:rFonts w:ascii="仿宋" w:hAnsi="仿宋" w:eastAsia="仿宋" w:cs="宋体"/>
          <w:sz w:val="32"/>
          <w:szCs w:val="32"/>
        </w:rPr>
        <w:t>决策部署，保持全区经济社会平稳发展具有十分重要的意义</w:t>
      </w:r>
      <w:r>
        <w:rPr>
          <w:rFonts w:hint="eastAsia" w:ascii="仿宋" w:hAnsi="仿宋" w:eastAsia="仿宋" w:cs="宋体"/>
          <w:sz w:val="32"/>
          <w:szCs w:val="32"/>
        </w:rPr>
        <w:t>。让我们更加紧密地团结在以习近平同志为核心的党中央周围，认真贯彻落实中央和省、市各项决策部署，在区委的坚强领导下，</w:t>
      </w:r>
      <w:r>
        <w:rPr>
          <w:rFonts w:ascii="仿宋" w:hAnsi="仿宋" w:eastAsia="仿宋"/>
          <w:sz w:val="32"/>
          <w:szCs w:val="32"/>
        </w:rPr>
        <w:t>在区人大和区政协的监督下，</w:t>
      </w:r>
      <w:r>
        <w:rPr>
          <w:rFonts w:hint="eastAsia" w:ascii="仿宋" w:hAnsi="仿宋" w:eastAsia="仿宋" w:cs="宋体"/>
          <w:sz w:val="32"/>
          <w:szCs w:val="32"/>
        </w:rPr>
        <w:t>开拓创新、真抓实干、奋发有为、为开创新时代建设活力之城、幸福双桥新局面而努力奋斗！</w:t>
      </w:r>
    </w:p>
    <w:p>
      <w:pPr>
        <w:ind w:firstLine="600"/>
        <w:rPr>
          <w:sz w:val="30"/>
          <w:szCs w:val="30"/>
        </w:rPr>
      </w:pPr>
    </w:p>
    <w:p>
      <w:pPr>
        <w:ind w:firstLine="600"/>
        <w:rPr>
          <w:sz w:val="30"/>
          <w:szCs w:val="30"/>
        </w:rPr>
      </w:pPr>
    </w:p>
    <w:p>
      <w:pPr>
        <w:ind w:firstLine="600"/>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spacing w:line="520" w:lineRule="exact"/>
        <w:jc w:val="center"/>
        <w:rPr>
          <w:rFonts w:ascii="宋体" w:hAnsi="宋体"/>
          <w:b/>
          <w:sz w:val="44"/>
          <w:szCs w:val="44"/>
        </w:rPr>
      </w:pPr>
      <w:r>
        <w:rPr>
          <w:rFonts w:hint="eastAsia" w:ascii="宋体" w:hAnsi="宋体"/>
          <w:b/>
          <w:sz w:val="44"/>
          <w:szCs w:val="44"/>
        </w:rPr>
        <w:t>双桥区财政局</w:t>
      </w:r>
    </w:p>
    <w:p>
      <w:pPr>
        <w:spacing w:line="520" w:lineRule="exact"/>
        <w:jc w:val="center"/>
        <w:rPr>
          <w:rFonts w:ascii="宋体" w:hAnsi="宋体"/>
          <w:b/>
          <w:sz w:val="44"/>
          <w:szCs w:val="44"/>
        </w:rPr>
      </w:pPr>
      <w:r>
        <w:rPr>
          <w:rFonts w:hint="eastAsia" w:ascii="宋体" w:hAnsi="宋体"/>
          <w:b/>
          <w:sz w:val="44"/>
          <w:szCs w:val="44"/>
        </w:rPr>
        <w:t>关于2019年区级预算编制情况的说明</w:t>
      </w:r>
    </w:p>
    <w:p>
      <w:pPr>
        <w:spacing w:line="520" w:lineRule="exact"/>
        <w:ind w:firstLine="645"/>
        <w:rPr>
          <w:rFonts w:ascii="仿宋_GB2312" w:hAnsi="仿宋" w:eastAsia="仿宋_GB2312"/>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2019年是决胜全面建成小康社会、实施“十三五”规划承上启下的关键一年，</w:t>
      </w:r>
      <w:r>
        <w:rPr>
          <w:rFonts w:hint="eastAsia" w:ascii="仿宋" w:hAnsi="仿宋" w:eastAsia="仿宋" w:cs="宋体"/>
          <w:sz w:val="32"/>
          <w:szCs w:val="32"/>
        </w:rPr>
        <w:t>做好全年财政经济工作</w:t>
      </w:r>
      <w:r>
        <w:rPr>
          <w:rFonts w:hint="eastAsia" w:ascii="仿宋" w:hAnsi="仿宋" w:eastAsia="仿宋"/>
          <w:sz w:val="32"/>
          <w:szCs w:val="32"/>
        </w:rPr>
        <w:t>，</w:t>
      </w:r>
      <w:r>
        <w:rPr>
          <w:rFonts w:hint="eastAsia" w:ascii="仿宋" w:hAnsi="仿宋" w:eastAsia="仿宋" w:cs="宋体"/>
          <w:sz w:val="32"/>
          <w:szCs w:val="32"/>
        </w:rPr>
        <w:t>既面临严峻挑战，又面临重大机遇。从收入看，受上下级财政体制和减税降费等政策影响，本级财政增收难度很大。从支出看，</w:t>
      </w:r>
      <w:r>
        <w:rPr>
          <w:rFonts w:hint="eastAsia" w:ascii="仿宋" w:hAnsi="仿宋" w:eastAsia="仿宋"/>
          <w:sz w:val="32"/>
          <w:szCs w:val="32"/>
        </w:rPr>
        <w:t>受执行各项人员增资政策</w:t>
      </w:r>
      <w:r>
        <w:rPr>
          <w:rFonts w:hint="eastAsia" w:ascii="仿宋" w:hAnsi="仿宋" w:eastAsia="仿宋"/>
          <w:color w:val="000000"/>
          <w:sz w:val="32"/>
          <w:szCs w:val="32"/>
        </w:rPr>
        <w:t>、</w:t>
      </w:r>
      <w:r>
        <w:rPr>
          <w:rFonts w:hint="eastAsia" w:ascii="仿宋" w:hAnsi="仿宋" w:eastAsia="仿宋"/>
          <w:sz w:val="32"/>
          <w:szCs w:val="32"/>
        </w:rPr>
        <w:t>各项民生政策支出标准提高和政府债务还本付息高峰期到来等各项刚性支出叠加因素影响，财政收支矛盾异常突出。</w:t>
      </w:r>
    </w:p>
    <w:p>
      <w:pPr>
        <w:spacing w:line="520" w:lineRule="exact"/>
        <w:ind w:firstLine="640" w:firstLineChars="200"/>
        <w:outlineLvl w:val="0"/>
        <w:rPr>
          <w:rFonts w:ascii="黑体" w:hAnsi="黑体" w:eastAsia="黑体" w:cs="宋体"/>
          <w:color w:val="000000"/>
          <w:sz w:val="32"/>
          <w:szCs w:val="32"/>
        </w:rPr>
      </w:pPr>
      <w:r>
        <w:rPr>
          <w:rFonts w:hint="eastAsia" w:ascii="黑体" w:hAnsi="黑体" w:eastAsia="黑体" w:cs="宋体"/>
          <w:color w:val="000000"/>
          <w:sz w:val="32"/>
          <w:szCs w:val="32"/>
        </w:rPr>
        <w:t>一、2019年预算编制指导思想</w:t>
      </w:r>
    </w:p>
    <w:p>
      <w:pPr>
        <w:spacing w:line="520" w:lineRule="exact"/>
        <w:ind w:firstLine="640" w:firstLineChars="200"/>
        <w:rPr>
          <w:rFonts w:ascii="仿宋" w:hAnsi="仿宋" w:eastAsia="仿宋"/>
          <w:b/>
          <w:sz w:val="32"/>
          <w:szCs w:val="32"/>
        </w:rPr>
      </w:pPr>
      <w:r>
        <w:rPr>
          <w:rFonts w:hint="eastAsia" w:ascii="仿宋" w:hAnsi="仿宋" w:eastAsia="仿宋"/>
          <w:sz w:val="32"/>
          <w:szCs w:val="32"/>
        </w:rPr>
        <w:t>深入贯彻落实党的十九大精神和习近平新时代中国特色社会主义经济思想，将高质量发展作为经济工作的主线和根本要求，紧紧围绕稳中求进总基调，统筹推进稳增长、抓项目、强管理、惠民生、促改革、防风险各项工作，统一思想、凝聚合力，推动双桥实现更高质量、更有效率、更可持续发展。</w:t>
      </w:r>
    </w:p>
    <w:p>
      <w:pPr>
        <w:spacing w:line="520" w:lineRule="exact"/>
        <w:ind w:firstLine="645"/>
        <w:rPr>
          <w:rFonts w:ascii="黑体" w:hAnsi="黑体" w:eastAsia="黑体" w:cs="仿宋_GB2312"/>
          <w:sz w:val="32"/>
          <w:szCs w:val="32"/>
        </w:rPr>
      </w:pPr>
      <w:r>
        <w:rPr>
          <w:rFonts w:hint="eastAsia" w:ascii="黑体" w:hAnsi="黑体" w:eastAsia="黑体" w:cs="仿宋_GB2312"/>
          <w:sz w:val="32"/>
          <w:szCs w:val="32"/>
        </w:rPr>
        <w:t>二、2019年一般公共预算安排情况</w:t>
      </w:r>
    </w:p>
    <w:p>
      <w:pPr>
        <w:spacing w:line="520" w:lineRule="exact"/>
        <w:ind w:firstLine="645"/>
        <w:rPr>
          <w:rFonts w:ascii="仿宋" w:hAnsi="仿宋" w:eastAsia="仿宋"/>
          <w:sz w:val="32"/>
          <w:szCs w:val="32"/>
        </w:rPr>
      </w:pPr>
      <w:r>
        <w:rPr>
          <w:rFonts w:hint="eastAsia" w:ascii="仿宋" w:hAnsi="仿宋" w:eastAsia="仿宋" w:cs="仿宋_GB2312"/>
          <w:sz w:val="32"/>
          <w:szCs w:val="32"/>
        </w:rPr>
        <w:t>2018年我区全部财政收入完成32.6亿元，同比增长15.3%，一般公共预算收入完成15.8亿元，同比增长22%。根据与两税部门沟通测算，初步将我区全部财政收入和一般公共预算收入增速均定为6.5%，即全部财政收入安排完成34.7亿元，一般公共预算收入安排完成16.8亿元，根据现行的财政体制测算，全区2019年一般公共预算当年财力约为10亿元（其中含预计下达生态功能区转移支付），</w:t>
      </w:r>
      <w:r>
        <w:rPr>
          <w:rFonts w:hint="eastAsia" w:ascii="仿宋" w:hAnsi="仿宋" w:eastAsia="仿宋"/>
          <w:sz w:val="32"/>
          <w:szCs w:val="32"/>
        </w:rPr>
        <w:t>为实现当年财政收支平衡，保证全区运转及民生政策支出需要，安排调入政府性基金24.3亿元，</w:t>
      </w:r>
      <w:r>
        <w:rPr>
          <w:rFonts w:hint="eastAsia" w:ascii="仿宋" w:hAnsi="仿宋" w:eastAsia="仿宋" w:cs="仿宋_GB2312"/>
          <w:sz w:val="32"/>
          <w:szCs w:val="32"/>
        </w:rPr>
        <w:t>全区当年一般公共预算可用财力为34.3亿元。</w:t>
      </w:r>
    </w:p>
    <w:p>
      <w:pPr>
        <w:spacing w:line="520" w:lineRule="exact"/>
        <w:ind w:firstLine="645"/>
        <w:rPr>
          <w:rFonts w:ascii="仿宋" w:hAnsi="仿宋" w:eastAsia="仿宋"/>
          <w:sz w:val="32"/>
          <w:szCs w:val="32"/>
        </w:rPr>
      </w:pPr>
      <w:r>
        <w:rPr>
          <w:rFonts w:hint="eastAsia" w:ascii="仿宋" w:hAnsi="仿宋" w:eastAsia="仿宋"/>
          <w:sz w:val="32"/>
          <w:szCs w:val="32"/>
        </w:rPr>
        <w:t>整体来看，</w:t>
      </w:r>
      <w:r>
        <w:rPr>
          <w:rFonts w:hint="eastAsia" w:ascii="仿宋" w:hAnsi="仿宋" w:eastAsia="仿宋"/>
          <w:color w:val="000000"/>
          <w:sz w:val="32"/>
          <w:szCs w:val="32"/>
        </w:rPr>
        <w:t>受落实全区公教人员各项增资政策、政府债和隐性债还本付息增加、环保项目支出增加等增支因素影响</w:t>
      </w:r>
      <w:r>
        <w:rPr>
          <w:rFonts w:hint="eastAsia" w:ascii="仿宋" w:hAnsi="仿宋" w:eastAsia="仿宋"/>
          <w:sz w:val="32"/>
          <w:szCs w:val="32"/>
        </w:rPr>
        <w:t>，今年预算平衡压力和困难远超往年。为更好地保障区委区政府决策部署的落实，我们认真研究改革要求、支出政策，逐项梳理存量项目，深入分析增支需求，预算安排中采取了调整结构、强化统筹、整合资金、跨年度安排、争取上级支持多项措施，突出把握了五个重点：</w:t>
      </w:r>
      <w:r>
        <w:rPr>
          <w:rFonts w:hint="eastAsia" w:ascii="仿宋" w:hAnsi="仿宋" w:eastAsia="仿宋"/>
          <w:b/>
          <w:sz w:val="32"/>
          <w:szCs w:val="32"/>
        </w:rPr>
        <w:t>一是</w:t>
      </w:r>
      <w:r>
        <w:rPr>
          <w:rFonts w:hint="eastAsia" w:ascii="仿宋" w:hAnsi="仿宋" w:eastAsia="仿宋"/>
          <w:sz w:val="32"/>
          <w:szCs w:val="32"/>
        </w:rPr>
        <w:t>人员工资及社会保障缴费支出足额安排，并预留资金用于预计执行的各项增资政策。</w:t>
      </w:r>
      <w:r>
        <w:rPr>
          <w:rFonts w:hint="eastAsia" w:ascii="仿宋" w:hAnsi="仿宋" w:eastAsia="仿宋"/>
          <w:b/>
          <w:sz w:val="32"/>
          <w:szCs w:val="32"/>
        </w:rPr>
        <w:t>二是</w:t>
      </w:r>
      <w:r>
        <w:rPr>
          <w:rFonts w:hint="eastAsia" w:ascii="仿宋" w:hAnsi="仿宋" w:eastAsia="仿宋"/>
          <w:sz w:val="32"/>
          <w:szCs w:val="32"/>
        </w:rPr>
        <w:t>机关运转按标准足额保障。</w:t>
      </w:r>
      <w:r>
        <w:rPr>
          <w:rFonts w:hint="eastAsia" w:ascii="仿宋" w:hAnsi="仿宋" w:eastAsia="仿宋"/>
          <w:b/>
          <w:sz w:val="32"/>
          <w:szCs w:val="32"/>
        </w:rPr>
        <w:t>三是</w:t>
      </w:r>
      <w:r>
        <w:rPr>
          <w:rFonts w:hint="eastAsia" w:ascii="仿宋" w:hAnsi="仿宋" w:eastAsia="仿宋"/>
          <w:sz w:val="32"/>
          <w:szCs w:val="32"/>
        </w:rPr>
        <w:t>民生支出全力保障，国家明确要求的提标扩面资金、区级确定的民生政策支出全部安排。</w:t>
      </w:r>
      <w:r>
        <w:rPr>
          <w:rFonts w:hint="eastAsia" w:ascii="仿宋" w:hAnsi="仿宋" w:eastAsia="仿宋"/>
          <w:b/>
          <w:sz w:val="32"/>
          <w:szCs w:val="32"/>
        </w:rPr>
        <w:t>四是</w:t>
      </w:r>
      <w:r>
        <w:rPr>
          <w:rFonts w:hint="eastAsia" w:ascii="仿宋" w:hAnsi="仿宋" w:eastAsia="仿宋"/>
          <w:sz w:val="32"/>
          <w:szCs w:val="32"/>
        </w:rPr>
        <w:t>债券还本付息和政府隐性债务化解支出按要求列入预算，严格落实中央“防风险”工作要求。</w:t>
      </w:r>
      <w:r>
        <w:rPr>
          <w:rFonts w:hint="eastAsia" w:ascii="仿宋" w:hAnsi="仿宋" w:eastAsia="仿宋"/>
          <w:b/>
          <w:sz w:val="32"/>
          <w:szCs w:val="32"/>
        </w:rPr>
        <w:t>五是</w:t>
      </w:r>
      <w:r>
        <w:rPr>
          <w:rFonts w:hint="eastAsia" w:ascii="仿宋" w:hAnsi="仿宋" w:eastAsia="仿宋"/>
          <w:sz w:val="32"/>
          <w:szCs w:val="32"/>
        </w:rPr>
        <w:t>部门事业支出合理安排，事业发展延续性的必需支出继续安排，特殊项目分年度安排。现就我区2019年一般公共预算安排情况具体汇报如下：</w:t>
      </w:r>
    </w:p>
    <w:p>
      <w:pPr>
        <w:spacing w:line="520" w:lineRule="exact"/>
        <w:ind w:firstLine="645"/>
        <w:rPr>
          <w:rFonts w:ascii="仿宋" w:hAnsi="仿宋" w:eastAsia="仿宋"/>
          <w:b/>
          <w:color w:val="000000"/>
          <w:sz w:val="32"/>
          <w:szCs w:val="32"/>
        </w:rPr>
      </w:pPr>
      <w:r>
        <w:rPr>
          <w:rFonts w:hint="eastAsia" w:ascii="仿宋" w:hAnsi="仿宋" w:eastAsia="仿宋"/>
          <w:b/>
          <w:sz w:val="32"/>
          <w:szCs w:val="32"/>
        </w:rPr>
        <w:t xml:space="preserve">2019年全区支出安排情况，总支出安排 </w:t>
      </w:r>
      <w:r>
        <w:rPr>
          <w:rFonts w:hint="eastAsia" w:ascii="仿宋" w:hAnsi="仿宋" w:eastAsia="仿宋"/>
          <w:b/>
          <w:color w:val="000000"/>
          <w:sz w:val="32"/>
          <w:szCs w:val="32"/>
        </w:rPr>
        <w:t>343000万元，其中：</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（一）人员工资及社会保障缴费支出</w:t>
      </w:r>
    </w:p>
    <w:p>
      <w:pPr>
        <w:spacing w:line="520" w:lineRule="exact"/>
        <w:ind w:firstLine="472" w:firstLineChars="147"/>
        <w:rPr>
          <w:rFonts w:ascii="仿宋" w:hAnsi="仿宋" w:eastAsia="仿宋"/>
          <w:sz w:val="32"/>
          <w:szCs w:val="32"/>
        </w:rPr>
      </w:pPr>
      <w:r>
        <w:rPr>
          <w:rFonts w:hint="eastAsia" w:ascii="仿宋" w:hAnsi="仿宋" w:eastAsia="仿宋"/>
          <w:b/>
          <w:sz w:val="32"/>
          <w:szCs w:val="32"/>
        </w:rPr>
        <w:t>人员部分支出</w:t>
      </w:r>
      <w:r>
        <w:rPr>
          <w:rFonts w:hint="eastAsia" w:ascii="仿宋" w:hAnsi="仿宋" w:eastAsia="仿宋"/>
          <w:b/>
          <w:color w:val="000000"/>
          <w:sz w:val="32"/>
          <w:szCs w:val="32"/>
        </w:rPr>
        <w:t>96775</w:t>
      </w:r>
      <w:r>
        <w:rPr>
          <w:rFonts w:hint="eastAsia" w:ascii="仿宋" w:hAnsi="仿宋" w:eastAsia="仿宋"/>
          <w:b/>
          <w:sz w:val="32"/>
          <w:szCs w:val="32"/>
        </w:rPr>
        <w:t>万元。</w:t>
      </w:r>
      <w:r>
        <w:rPr>
          <w:rFonts w:hint="eastAsia" w:ascii="仿宋" w:hAnsi="仿宋" w:eastAsia="仿宋"/>
          <w:sz w:val="32"/>
          <w:szCs w:val="32"/>
        </w:rPr>
        <w:t>安排的原则为凡是现已出台的涉及个人待遇全部安排，不留缺口。包括工资、津补贴、绩效工资、一次性奖金、车改补贴、通讯补贴、乡镇补贴、物业补贴、取暖费、精神文明奖、绩效目标奖、住房公积金、福利费、养老工伤医疗生育四险、伤残补助、遗属补助、退休人员养老金统筹内和统筹外部分、社区干部工资保险、政府核定的劳务派遣人员工资保险、信访审计司法公安安监纪检等专项津补贴。较上年82184万元增加</w:t>
      </w:r>
      <w:r>
        <w:rPr>
          <w:rFonts w:hint="eastAsia" w:ascii="仿宋" w:hAnsi="仿宋" w:eastAsia="仿宋"/>
          <w:color w:val="000000"/>
          <w:sz w:val="32"/>
          <w:szCs w:val="32"/>
        </w:rPr>
        <w:t>14591</w:t>
      </w:r>
      <w:r>
        <w:rPr>
          <w:rFonts w:hint="eastAsia" w:ascii="仿宋" w:hAnsi="仿宋" w:eastAsia="仿宋"/>
          <w:sz w:val="32"/>
          <w:szCs w:val="32"/>
        </w:rPr>
        <w:t>万元，</w:t>
      </w:r>
      <w:r>
        <w:rPr>
          <w:rFonts w:hint="eastAsia" w:ascii="仿宋" w:hAnsi="仿宋" w:eastAsia="仿宋"/>
          <w:color w:val="000000"/>
          <w:sz w:val="32"/>
          <w:szCs w:val="32"/>
        </w:rPr>
        <w:t>主要为：⑴安排了18年受财力不足调减的17年绩效目标奖和18年绩效目标奖累计增支7200万；⑵在职人员最新增资政策增加3000万元；⑶区直</w:t>
      </w:r>
      <w:r>
        <w:rPr>
          <w:rFonts w:hint="eastAsia" w:ascii="仿宋" w:hAnsi="仿宋" w:eastAsia="仿宋"/>
          <w:sz w:val="32"/>
          <w:szCs w:val="32"/>
        </w:rPr>
        <w:t>退休人员养老金统筹内部分财政补贴资金增加3921万元</w:t>
      </w:r>
      <w:r>
        <w:rPr>
          <w:rFonts w:hint="eastAsia" w:ascii="仿宋" w:hAnsi="仿宋" w:eastAsia="仿宋"/>
          <w:color w:val="000000"/>
          <w:sz w:val="32"/>
          <w:szCs w:val="32"/>
        </w:rPr>
        <w:t>；</w:t>
      </w:r>
      <w:r>
        <w:rPr>
          <w:rFonts w:hint="eastAsia" w:ascii="仿宋" w:hAnsi="仿宋" w:eastAsia="仿宋"/>
          <w:sz w:val="32"/>
          <w:szCs w:val="32"/>
        </w:rPr>
        <w:t>⑷全区住房公积金增加530万元；⑸区直退休人员统筹外部分增支598万；⑹其它政策性提标增支539万元；⑺企业养老保险本级配套减少1600万元。增减相抵净增支14591万元。</w:t>
      </w:r>
    </w:p>
    <w:p>
      <w:pPr>
        <w:spacing w:line="520" w:lineRule="exact"/>
        <w:ind w:firstLine="630"/>
        <w:rPr>
          <w:rFonts w:ascii="楷体" w:hAnsi="楷体" w:eastAsia="楷体"/>
          <w:b/>
          <w:sz w:val="32"/>
          <w:szCs w:val="32"/>
        </w:rPr>
      </w:pPr>
      <w:r>
        <w:rPr>
          <w:rFonts w:hint="eastAsia" w:ascii="楷体" w:hAnsi="楷体" w:eastAsia="楷体"/>
          <w:b/>
          <w:sz w:val="32"/>
          <w:szCs w:val="32"/>
        </w:rPr>
        <w:t>（二）机关运转经费支出</w:t>
      </w:r>
    </w:p>
    <w:p>
      <w:pPr>
        <w:spacing w:line="520" w:lineRule="exact"/>
        <w:ind w:firstLine="645"/>
        <w:rPr>
          <w:rFonts w:ascii="仿宋" w:hAnsi="仿宋" w:eastAsia="仿宋"/>
          <w:sz w:val="32"/>
          <w:szCs w:val="32"/>
        </w:rPr>
      </w:pPr>
      <w:r>
        <w:rPr>
          <w:rFonts w:hint="eastAsia" w:ascii="仿宋" w:hAnsi="仿宋" w:eastAsia="仿宋"/>
          <w:b/>
          <w:sz w:val="32"/>
          <w:szCs w:val="32"/>
        </w:rPr>
        <w:t>正常公用经费支出7224万元</w:t>
      </w:r>
      <w:r>
        <w:rPr>
          <w:rFonts w:hint="eastAsia" w:ascii="仿宋" w:hAnsi="仿宋" w:eastAsia="仿宋"/>
          <w:sz w:val="32"/>
          <w:szCs w:val="32"/>
        </w:rPr>
        <w:t>，其中：标准定额公用经费支出安排3918万元，较上年3752万元增加166万元，主要为人员增加而产生的支出。执收执罚单位超标准定额公用经费支出安排3306万元，较上年3600万元减少294万元，主要为非税收入减少。</w:t>
      </w:r>
    </w:p>
    <w:p>
      <w:pPr>
        <w:spacing w:line="520" w:lineRule="exact"/>
        <w:ind w:firstLine="645"/>
        <w:rPr>
          <w:rFonts w:ascii="楷体" w:hAnsi="楷体" w:eastAsia="楷体"/>
          <w:b/>
          <w:sz w:val="32"/>
          <w:szCs w:val="32"/>
        </w:rPr>
      </w:pPr>
      <w:r>
        <w:rPr>
          <w:rFonts w:hint="eastAsia" w:ascii="楷体" w:hAnsi="楷体" w:eastAsia="楷体"/>
          <w:b/>
          <w:sz w:val="32"/>
          <w:szCs w:val="32"/>
        </w:rPr>
        <w:t>（三）民生及政策性支出</w:t>
      </w:r>
    </w:p>
    <w:p>
      <w:pPr>
        <w:spacing w:line="520" w:lineRule="exact"/>
        <w:ind w:firstLine="645"/>
        <w:rPr>
          <w:rFonts w:ascii="仿宋" w:hAnsi="仿宋" w:eastAsia="仿宋"/>
          <w:sz w:val="32"/>
          <w:szCs w:val="32"/>
        </w:rPr>
      </w:pPr>
      <w:r>
        <w:rPr>
          <w:rFonts w:hint="eastAsia" w:ascii="仿宋" w:hAnsi="仿宋" w:eastAsia="仿宋"/>
          <w:b/>
          <w:sz w:val="32"/>
          <w:szCs w:val="32"/>
        </w:rPr>
        <w:t>民生及政策性支出9432万元</w:t>
      </w:r>
      <w:r>
        <w:rPr>
          <w:rFonts w:hint="eastAsia" w:ascii="仿宋" w:hAnsi="仿宋" w:eastAsia="仿宋"/>
          <w:sz w:val="32"/>
          <w:szCs w:val="32"/>
        </w:rPr>
        <w:t>，与上年基本持平、主要安排教育、卫生、社保、民政、村级组织建设等保障支出。</w:t>
      </w:r>
    </w:p>
    <w:p>
      <w:pPr>
        <w:spacing w:line="520" w:lineRule="exact"/>
        <w:ind w:firstLine="630"/>
        <w:rPr>
          <w:rFonts w:ascii="楷体" w:hAnsi="楷体" w:eastAsia="楷体"/>
          <w:b/>
          <w:sz w:val="32"/>
          <w:szCs w:val="32"/>
        </w:rPr>
      </w:pPr>
      <w:r>
        <w:rPr>
          <w:rFonts w:hint="eastAsia" w:ascii="楷体" w:hAnsi="楷体" w:eastAsia="楷体"/>
          <w:b/>
          <w:sz w:val="32"/>
          <w:szCs w:val="32"/>
        </w:rPr>
        <w:t>（四）重点项目支出</w:t>
      </w:r>
    </w:p>
    <w:p>
      <w:pPr>
        <w:spacing w:line="52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9年全区重点项目预算编制原则：受本级财力限制，区直各部门的所有预算项目会根据以往年度预算安排情况和上年度项目实际支出情况，综合安排下年预算。各部门</w:t>
      </w:r>
      <w:r>
        <w:rPr>
          <w:rFonts w:ascii="仿宋" w:hAnsi="仿宋" w:eastAsia="仿宋"/>
          <w:sz w:val="32"/>
          <w:szCs w:val="32"/>
        </w:rPr>
        <w:t>201</w:t>
      </w:r>
      <w:r>
        <w:rPr>
          <w:rFonts w:hint="eastAsia" w:ascii="仿宋" w:hAnsi="仿宋" w:eastAsia="仿宋"/>
          <w:sz w:val="32"/>
          <w:szCs w:val="32"/>
        </w:rPr>
        <w:t>9年需要开展的新项目，视项目性质，需经请示区政府同意列入预算后，统筹安排。未经政府批示的项目，一律不予安排。</w:t>
      </w:r>
    </w:p>
    <w:p>
      <w:pPr>
        <w:spacing w:line="520" w:lineRule="exact"/>
        <w:ind w:firstLine="645"/>
        <w:rPr>
          <w:rFonts w:ascii="仿宋" w:hAnsi="仿宋" w:eastAsia="仿宋"/>
          <w:sz w:val="32"/>
          <w:szCs w:val="32"/>
        </w:rPr>
      </w:pPr>
      <w:r>
        <w:rPr>
          <w:rFonts w:hint="eastAsia" w:ascii="仿宋" w:hAnsi="仿宋" w:eastAsia="仿宋"/>
          <w:b/>
          <w:sz w:val="32"/>
          <w:szCs w:val="32"/>
        </w:rPr>
        <w:t>重点项目支出58653万，</w:t>
      </w:r>
      <w:r>
        <w:rPr>
          <w:rFonts w:hint="eastAsia" w:ascii="仿宋" w:hAnsi="仿宋" w:eastAsia="仿宋"/>
          <w:sz w:val="32"/>
          <w:szCs w:val="32"/>
        </w:rPr>
        <w:t>较上年59567万，减支913万元。增支的项目主要为：⑴环卫局各项环保类项目增支1957万元⑵住建局集中供热项目增支1200万元、老旧小区改造增支1500万、水泉沟燃煤治理增支800万⑶环保局上级督办项目增支935万元⑷拆违经费增支1000万元⑸创城经费增支400万元⑹旅发大会增支500万元。减少的项目主要为：⑴重点项目产业引导基金6000万元⑵18年列支的以前年度财政代扣个人的养老保险职业年金3200万元；⑶农业产业引导基金18年列支的注册资本金及利息2030万元。增减相抵净减支913万元。</w:t>
      </w:r>
    </w:p>
    <w:p>
      <w:pPr>
        <w:spacing w:line="520" w:lineRule="exact"/>
        <w:ind w:firstLine="645"/>
        <w:rPr>
          <w:rFonts w:ascii="仿宋" w:hAnsi="仿宋" w:eastAsia="仿宋"/>
          <w:sz w:val="32"/>
          <w:szCs w:val="32"/>
        </w:rPr>
      </w:pPr>
      <w:r>
        <w:rPr>
          <w:rFonts w:hint="eastAsia" w:ascii="仿宋" w:hAnsi="仿宋" w:eastAsia="仿宋"/>
          <w:b/>
          <w:sz w:val="32"/>
          <w:szCs w:val="32"/>
        </w:rPr>
        <w:t>（五）债务支出170914万元</w:t>
      </w:r>
      <w:r>
        <w:rPr>
          <w:rFonts w:hint="eastAsia" w:ascii="仿宋" w:hAnsi="仿宋" w:eastAsia="仿宋"/>
          <w:sz w:val="32"/>
          <w:szCs w:val="32"/>
        </w:rPr>
        <w:t>，主要为：⑴偿还到期的棚户区改造项目贷款本金1030万元；⑵偿还19年到期债券本息80140万元，其中一般债券还本52600万元、一般发行费40万元、利息27500万元；⑶偿还隐性债务9700万；⑷列支2018年调整预算转列暂付的16、17、18年债券利息50044万元；⑸偿还北区国开行棚改贷款利息30000万。</w:t>
      </w:r>
    </w:p>
    <w:p>
      <w:pPr>
        <w:spacing w:line="520" w:lineRule="exact"/>
        <w:ind w:firstLine="630"/>
        <w:rPr>
          <w:rFonts w:ascii="仿宋" w:hAnsi="仿宋" w:eastAsia="仿宋"/>
          <w:sz w:val="32"/>
          <w:szCs w:val="32"/>
        </w:rPr>
      </w:pPr>
      <w:r>
        <w:rPr>
          <w:rFonts w:hint="eastAsia" w:ascii="仿宋" w:hAnsi="仿宋" w:eastAsia="仿宋"/>
          <w:sz w:val="32"/>
          <w:szCs w:val="32"/>
        </w:rPr>
        <w:t>需要说明的是：⑴根据财政部印发的《预算稳定调节基金管理暂行办法》（财预【2018】35号）的文件要求，政府性基金补充预算稳定调节基金应不超过该项基金当年收入的30%；⑵受财力规模所限，以上财政支出是在大幅削减</w:t>
      </w:r>
      <w:r>
        <w:rPr>
          <w:rFonts w:hint="eastAsia" w:ascii="仿宋" w:hAnsi="仿宋" w:eastAsia="仿宋"/>
          <w:color w:val="000000"/>
          <w:sz w:val="32"/>
          <w:szCs w:val="32"/>
        </w:rPr>
        <w:t>2.7亿</w:t>
      </w:r>
      <w:r>
        <w:rPr>
          <w:rFonts w:hint="eastAsia" w:ascii="仿宋" w:hAnsi="仿宋" w:eastAsia="仿宋"/>
          <w:sz w:val="32"/>
          <w:szCs w:val="32"/>
        </w:rPr>
        <w:t>和未安排2.6亿的情况下，才实现的财政收支平衡。</w:t>
      </w:r>
    </w:p>
    <w:p>
      <w:pPr>
        <w:spacing w:line="520" w:lineRule="exact"/>
        <w:ind w:firstLine="645"/>
        <w:rPr>
          <w:rFonts w:ascii="黑体" w:hAnsi="黑体" w:eastAsia="黑体"/>
          <w:sz w:val="32"/>
          <w:szCs w:val="32"/>
        </w:rPr>
      </w:pPr>
      <w:r>
        <w:rPr>
          <w:rFonts w:hint="eastAsia" w:ascii="黑体" w:hAnsi="黑体" w:eastAsia="黑体"/>
          <w:sz w:val="32"/>
          <w:szCs w:val="32"/>
        </w:rPr>
        <w:t>三、2019年政府性基金预算安排情况</w:t>
      </w:r>
    </w:p>
    <w:p>
      <w:pPr>
        <w:spacing w:line="520" w:lineRule="exact"/>
        <w:ind w:firstLine="645"/>
        <w:rPr>
          <w:rFonts w:ascii="仿宋" w:hAnsi="仿宋" w:eastAsia="仿宋"/>
          <w:sz w:val="32"/>
          <w:szCs w:val="32"/>
        </w:rPr>
      </w:pPr>
      <w:r>
        <w:rPr>
          <w:rFonts w:hint="eastAsia" w:ascii="仿宋" w:hAnsi="仿宋" w:eastAsia="仿宋"/>
          <w:sz w:val="32"/>
          <w:szCs w:val="32"/>
        </w:rPr>
        <w:t>全区2019年政府性基金收入预算拟安排253000万元，其中：⑴城市基础设施配套费安排收入6000万元（主要用于：上解市级支出5600万元；环境卫生支出400万元）；⑵拟调入一般公共预算的可用土地出让收入243000万元；⑶拟安排土地出让收入4000万元（主要用于专项债券付息支出）。</w:t>
      </w:r>
    </w:p>
    <w:p>
      <w:pPr>
        <w:spacing w:line="520" w:lineRule="exact"/>
        <w:ind w:firstLine="645"/>
        <w:rPr>
          <w:rFonts w:ascii="仿宋" w:hAnsi="仿宋" w:eastAsia="仿宋"/>
          <w:sz w:val="32"/>
          <w:szCs w:val="32"/>
        </w:rPr>
      </w:pPr>
      <w:r>
        <w:rPr>
          <w:rFonts w:hint="eastAsia" w:ascii="仿宋" w:hAnsi="仿宋" w:eastAsia="仿宋"/>
          <w:sz w:val="32"/>
          <w:szCs w:val="32"/>
        </w:rPr>
        <w:t>需要说明的是：根据土地出让收入中纯收益与财政以前年度垫付的情况测算，如果使用24亿元的可用土地出让收入，则至少需完成约50亿元的土地出让收入才能保障19年预算安排的各项支出。</w:t>
      </w:r>
    </w:p>
    <w:p>
      <w:pPr>
        <w:ind w:firstLine="645"/>
        <w:rPr>
          <w:rFonts w:ascii="仿宋" w:hAnsi="仿宋" w:eastAsia="仿宋"/>
          <w:sz w:val="32"/>
          <w:szCs w:val="32"/>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hint="eastAsia" w:ascii="仿宋" w:hAnsi="仿宋" w:eastAsia="仿宋"/>
          <w:b/>
          <w:sz w:val="52"/>
          <w:szCs w:val="52"/>
        </w:rPr>
      </w:pPr>
    </w:p>
    <w:p>
      <w:pPr>
        <w:spacing w:line="1000" w:lineRule="exact"/>
        <w:jc w:val="center"/>
        <w:outlineLvl w:val="0"/>
        <w:rPr>
          <w:rFonts w:ascii="仿宋" w:hAnsi="仿宋" w:eastAsia="仿宋"/>
          <w:b/>
          <w:sz w:val="52"/>
          <w:szCs w:val="52"/>
        </w:rPr>
      </w:pPr>
      <w:r>
        <w:rPr>
          <w:rFonts w:hint="eastAsia" w:ascii="仿宋" w:hAnsi="仿宋" w:eastAsia="仿宋"/>
          <w:b/>
          <w:sz w:val="52"/>
          <w:szCs w:val="52"/>
        </w:rPr>
        <w:t>2019年双桥区政府预算</w:t>
      </w:r>
    </w:p>
    <w:p>
      <w:pPr>
        <w:spacing w:line="1000" w:lineRule="exact"/>
        <w:jc w:val="center"/>
        <w:outlineLvl w:val="0"/>
        <w:rPr>
          <w:rFonts w:ascii="仿宋" w:hAnsi="仿宋" w:eastAsia="仿宋"/>
          <w:b/>
          <w:sz w:val="52"/>
          <w:szCs w:val="52"/>
        </w:rPr>
      </w:pPr>
      <w:r>
        <w:rPr>
          <w:rFonts w:hint="eastAsia" w:ascii="仿宋" w:hAnsi="仿宋" w:eastAsia="仿宋"/>
          <w:b/>
          <w:sz w:val="52"/>
          <w:szCs w:val="52"/>
        </w:rPr>
        <w:t>（草案）</w:t>
      </w: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——2019年双桥区一般公共预算（草案）</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——2019年双桥区政府性基金预算（草案）</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——2019年双桥区社会保险基金预算（草案）</w:t>
      </w:r>
    </w:p>
    <w:p>
      <w:pPr>
        <w:spacing w:line="580" w:lineRule="exact"/>
        <w:ind w:firstLine="643" w:firstLineChars="200"/>
        <w:rPr>
          <w:rFonts w:ascii="仿宋" w:hAnsi="仿宋" w:eastAsia="仿宋"/>
          <w:b/>
          <w:sz w:val="32"/>
          <w:szCs w:val="32"/>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84"/>
          <w:szCs w:val="84"/>
        </w:rPr>
      </w:pPr>
    </w:p>
    <w:p>
      <w:pPr>
        <w:spacing w:line="580" w:lineRule="exact"/>
        <w:jc w:val="center"/>
        <w:rPr>
          <w:rFonts w:ascii="仿宋" w:hAnsi="仿宋" w:eastAsia="仿宋"/>
          <w:b/>
          <w:sz w:val="32"/>
          <w:szCs w:val="32"/>
        </w:rPr>
      </w:pPr>
    </w:p>
    <w:p>
      <w:pPr>
        <w:spacing w:line="580" w:lineRule="exact"/>
        <w:jc w:val="center"/>
        <w:rPr>
          <w:rFonts w:ascii="仿宋" w:hAnsi="仿宋" w:eastAsia="仿宋"/>
          <w:b/>
          <w:sz w:val="32"/>
          <w:szCs w:val="32"/>
        </w:rPr>
      </w:pPr>
      <w:r>
        <w:rPr>
          <w:rFonts w:hint="eastAsia" w:ascii="仿宋" w:hAnsi="仿宋" w:eastAsia="仿宋"/>
          <w:b/>
          <w:sz w:val="32"/>
          <w:szCs w:val="32"/>
        </w:rPr>
        <w:t>2019年1月</w:t>
      </w:r>
    </w:p>
    <w:p>
      <w:pPr>
        <w:spacing w:line="580" w:lineRule="exact"/>
        <w:jc w:val="center"/>
        <w:rPr>
          <w:rFonts w:ascii="仿宋" w:hAnsi="仿宋" w:eastAsia="仿宋"/>
          <w:sz w:val="32"/>
          <w:szCs w:val="32"/>
        </w:rPr>
      </w:pPr>
    </w:p>
    <w:p>
      <w:pPr>
        <w:spacing w:line="580" w:lineRule="exact"/>
        <w:jc w:val="center"/>
        <w:rPr>
          <w:rFonts w:ascii="仿宋" w:hAnsi="仿宋" w:eastAsia="仿宋"/>
          <w:sz w:val="44"/>
          <w:szCs w:val="44"/>
        </w:rPr>
      </w:pPr>
    </w:p>
    <w:p>
      <w:pPr>
        <w:spacing w:line="580" w:lineRule="exact"/>
        <w:jc w:val="center"/>
        <w:rPr>
          <w:rFonts w:ascii="仿宋" w:hAnsi="仿宋" w:eastAsia="仿宋"/>
          <w:b/>
          <w:sz w:val="44"/>
          <w:szCs w:val="44"/>
        </w:rPr>
      </w:pPr>
      <w:r>
        <w:rPr>
          <w:rFonts w:hint="eastAsia" w:ascii="仿宋" w:hAnsi="仿宋" w:eastAsia="仿宋"/>
          <w:b/>
          <w:sz w:val="44"/>
          <w:szCs w:val="44"/>
        </w:rPr>
        <w:t>2019年双桥区一般公共预算</w:t>
      </w:r>
    </w:p>
    <w:p>
      <w:pPr>
        <w:spacing w:line="580" w:lineRule="exact"/>
        <w:jc w:val="center"/>
        <w:rPr>
          <w:rFonts w:ascii="仿宋" w:hAnsi="仿宋" w:eastAsia="仿宋"/>
          <w:b/>
          <w:sz w:val="44"/>
          <w:szCs w:val="44"/>
        </w:rPr>
      </w:pPr>
      <w:r>
        <w:rPr>
          <w:rFonts w:hint="eastAsia" w:ascii="仿宋" w:hAnsi="仿宋" w:eastAsia="仿宋"/>
          <w:b/>
          <w:sz w:val="44"/>
          <w:szCs w:val="44"/>
        </w:rPr>
        <w:t>（草案）</w:t>
      </w:r>
    </w:p>
    <w:p>
      <w:pPr>
        <w:spacing w:line="580" w:lineRule="exact"/>
        <w:jc w:val="center"/>
        <w:rPr>
          <w:rFonts w:ascii="仿宋" w:hAnsi="仿宋" w:eastAsia="仿宋"/>
          <w:sz w:val="44"/>
          <w:szCs w:val="44"/>
        </w:rPr>
      </w:pPr>
    </w:p>
    <w:p>
      <w:pPr>
        <w:spacing w:line="580" w:lineRule="exact"/>
        <w:jc w:val="center"/>
        <w:rPr>
          <w:rFonts w:ascii="仿宋" w:hAnsi="仿宋" w:eastAsia="仿宋"/>
          <w:sz w:val="32"/>
          <w:szCs w:val="32"/>
        </w:rPr>
      </w:pPr>
      <w:r>
        <w:rPr>
          <w:rFonts w:hint="eastAsia" w:ascii="仿宋" w:hAnsi="仿宋" w:eastAsia="仿宋"/>
          <w:sz w:val="32"/>
          <w:szCs w:val="32"/>
        </w:rPr>
        <w:t>目  录</w:t>
      </w:r>
    </w:p>
    <w:p>
      <w:pPr>
        <w:spacing w:line="580" w:lineRule="exact"/>
        <w:jc w:val="center"/>
        <w:rPr>
          <w:rFonts w:ascii="仿宋" w:hAnsi="仿宋" w:eastAsia="仿宋"/>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第一部分  2019年形势展望及预算安排思路</w:t>
      </w:r>
    </w:p>
    <w:p>
      <w:pPr>
        <w:spacing w:line="580" w:lineRule="exact"/>
        <w:outlineLvl w:val="0"/>
        <w:rPr>
          <w:rFonts w:ascii="仿宋" w:hAnsi="仿宋" w:eastAsia="仿宋"/>
          <w:sz w:val="32"/>
          <w:szCs w:val="32"/>
        </w:rPr>
      </w:pPr>
      <w:r>
        <w:rPr>
          <w:rFonts w:hint="eastAsia" w:ascii="仿宋" w:hAnsi="仿宋" w:eastAsia="仿宋"/>
          <w:sz w:val="32"/>
          <w:szCs w:val="32"/>
        </w:rPr>
        <w:t>§1  财政经济形势……………………………</w:t>
      </w:r>
    </w:p>
    <w:p>
      <w:pPr>
        <w:spacing w:line="580" w:lineRule="exact"/>
        <w:rPr>
          <w:rFonts w:ascii="仿宋" w:hAnsi="仿宋" w:eastAsia="仿宋"/>
          <w:sz w:val="32"/>
          <w:szCs w:val="32"/>
        </w:rPr>
      </w:pPr>
      <w:r>
        <w:rPr>
          <w:rFonts w:hint="eastAsia" w:ascii="仿宋" w:hAnsi="仿宋" w:eastAsia="仿宋"/>
          <w:sz w:val="32"/>
          <w:szCs w:val="32"/>
        </w:rPr>
        <w:t>§2  预算编制的指导思想和原则………………</w:t>
      </w:r>
    </w:p>
    <w:p>
      <w:pPr>
        <w:spacing w:line="580" w:lineRule="exact"/>
        <w:rPr>
          <w:rFonts w:ascii="仿宋" w:hAnsi="仿宋" w:eastAsia="仿宋"/>
          <w:sz w:val="32"/>
          <w:szCs w:val="32"/>
        </w:rPr>
      </w:pPr>
    </w:p>
    <w:p>
      <w:pPr>
        <w:spacing w:line="580" w:lineRule="exact"/>
        <w:ind w:firstLine="960" w:firstLineChars="300"/>
        <w:rPr>
          <w:rFonts w:ascii="仿宋" w:hAnsi="仿宋" w:eastAsia="仿宋"/>
          <w:sz w:val="32"/>
          <w:szCs w:val="32"/>
        </w:rPr>
      </w:pPr>
      <w:r>
        <w:rPr>
          <w:rFonts w:hint="eastAsia" w:ascii="仿宋" w:hAnsi="仿宋" w:eastAsia="仿宋"/>
          <w:sz w:val="32"/>
          <w:szCs w:val="32"/>
        </w:rPr>
        <w:t>第二部分  2019年一般公共预算总体情况</w:t>
      </w:r>
    </w:p>
    <w:p>
      <w:pPr>
        <w:spacing w:line="580" w:lineRule="exact"/>
        <w:rPr>
          <w:rFonts w:ascii="仿宋" w:hAnsi="仿宋" w:eastAsia="仿宋"/>
          <w:sz w:val="32"/>
          <w:szCs w:val="32"/>
        </w:rPr>
      </w:pPr>
      <w:r>
        <w:rPr>
          <w:rFonts w:hint="eastAsia" w:ascii="仿宋" w:hAnsi="仿宋" w:eastAsia="仿宋"/>
          <w:sz w:val="32"/>
          <w:szCs w:val="32"/>
        </w:rPr>
        <w:t>§1  2019年一般公共收支预算及平衡情况……</w:t>
      </w:r>
    </w:p>
    <w:p>
      <w:pPr>
        <w:spacing w:line="580" w:lineRule="exact"/>
        <w:outlineLvl w:val="0"/>
        <w:rPr>
          <w:rFonts w:ascii="仿宋" w:hAnsi="仿宋" w:eastAsia="仿宋"/>
          <w:sz w:val="32"/>
          <w:szCs w:val="32"/>
        </w:rPr>
      </w:pPr>
      <w:r>
        <w:rPr>
          <w:rFonts w:hint="eastAsia" w:ascii="仿宋" w:hAnsi="仿宋" w:eastAsia="仿宋"/>
          <w:sz w:val="32"/>
          <w:szCs w:val="32"/>
        </w:rPr>
        <w:t>§2  2019年一般公共收入预算…………</w:t>
      </w:r>
    </w:p>
    <w:p>
      <w:pPr>
        <w:spacing w:line="580" w:lineRule="exact"/>
        <w:rPr>
          <w:rFonts w:ascii="仿宋" w:hAnsi="仿宋" w:eastAsia="仿宋"/>
          <w:sz w:val="32"/>
          <w:szCs w:val="32"/>
        </w:rPr>
      </w:pPr>
      <w:r>
        <w:rPr>
          <w:rFonts w:hint="eastAsia" w:ascii="仿宋" w:hAnsi="仿宋" w:eastAsia="仿宋"/>
          <w:sz w:val="32"/>
          <w:szCs w:val="32"/>
        </w:rPr>
        <w:t>§3  2019年一般公共支出预算…………</w:t>
      </w: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b/>
          <w:sz w:val="44"/>
          <w:szCs w:val="44"/>
        </w:rPr>
      </w:pPr>
      <w:r>
        <w:rPr>
          <w:rFonts w:hint="eastAsia" w:ascii="仿宋" w:hAnsi="仿宋" w:eastAsia="仿宋"/>
          <w:b/>
          <w:sz w:val="44"/>
          <w:szCs w:val="44"/>
        </w:rPr>
        <w:t>第一部分</w:t>
      </w:r>
    </w:p>
    <w:p>
      <w:pPr>
        <w:spacing w:line="550" w:lineRule="exact"/>
        <w:jc w:val="center"/>
        <w:rPr>
          <w:rFonts w:ascii="仿宋" w:hAnsi="仿宋" w:eastAsia="仿宋"/>
          <w:b/>
          <w:sz w:val="44"/>
          <w:szCs w:val="44"/>
        </w:rPr>
      </w:pPr>
    </w:p>
    <w:p>
      <w:pPr>
        <w:spacing w:line="550" w:lineRule="exact"/>
        <w:jc w:val="center"/>
        <w:rPr>
          <w:rFonts w:ascii="仿宋" w:hAnsi="仿宋" w:eastAsia="仿宋"/>
          <w:b/>
          <w:sz w:val="44"/>
          <w:szCs w:val="44"/>
        </w:rPr>
      </w:pPr>
    </w:p>
    <w:p>
      <w:pPr>
        <w:spacing w:line="550" w:lineRule="exact"/>
        <w:jc w:val="center"/>
        <w:rPr>
          <w:rFonts w:ascii="仿宋" w:hAnsi="仿宋" w:eastAsia="仿宋"/>
          <w:b/>
          <w:sz w:val="44"/>
          <w:szCs w:val="44"/>
        </w:rPr>
      </w:pPr>
    </w:p>
    <w:p>
      <w:pPr>
        <w:spacing w:line="550" w:lineRule="exact"/>
        <w:jc w:val="center"/>
        <w:rPr>
          <w:rFonts w:ascii="仿宋" w:hAnsi="仿宋" w:eastAsia="仿宋"/>
          <w:b/>
          <w:sz w:val="44"/>
          <w:szCs w:val="44"/>
        </w:rPr>
      </w:pPr>
      <w:r>
        <w:rPr>
          <w:rFonts w:hint="eastAsia" w:ascii="仿宋" w:hAnsi="仿宋" w:eastAsia="仿宋"/>
          <w:b/>
          <w:sz w:val="44"/>
          <w:szCs w:val="44"/>
        </w:rPr>
        <w:t>2019年形势展望及预算安排思路</w:t>
      </w: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jc w:val="center"/>
        <w:rPr>
          <w:rFonts w:ascii="仿宋" w:hAnsi="仿宋" w:eastAsia="仿宋"/>
          <w:sz w:val="44"/>
          <w:szCs w:val="44"/>
        </w:rPr>
      </w:pPr>
    </w:p>
    <w:p>
      <w:pPr>
        <w:spacing w:line="550" w:lineRule="exact"/>
        <w:ind w:firstLine="660" w:firstLineChars="150"/>
        <w:rPr>
          <w:rFonts w:ascii="仿宋" w:hAnsi="仿宋" w:eastAsia="仿宋"/>
          <w:sz w:val="44"/>
          <w:szCs w:val="44"/>
        </w:rPr>
      </w:pPr>
    </w:p>
    <w:p>
      <w:pPr>
        <w:spacing w:line="550" w:lineRule="exact"/>
        <w:ind w:firstLine="660" w:firstLineChars="150"/>
        <w:rPr>
          <w:rFonts w:ascii="仿宋" w:hAnsi="仿宋" w:eastAsia="仿宋"/>
          <w:sz w:val="44"/>
          <w:szCs w:val="44"/>
        </w:rPr>
      </w:pPr>
    </w:p>
    <w:p>
      <w:pPr>
        <w:spacing w:line="550" w:lineRule="exact"/>
        <w:ind w:firstLine="660" w:firstLineChars="150"/>
        <w:rPr>
          <w:rFonts w:ascii="仿宋" w:hAnsi="仿宋" w:eastAsia="仿宋"/>
          <w:sz w:val="44"/>
          <w:szCs w:val="44"/>
        </w:rPr>
      </w:pPr>
    </w:p>
    <w:p>
      <w:pPr>
        <w:spacing w:line="550" w:lineRule="exact"/>
        <w:ind w:firstLine="1980" w:firstLineChars="450"/>
        <w:rPr>
          <w:rFonts w:ascii="仿宋" w:hAnsi="仿宋" w:eastAsia="仿宋"/>
          <w:sz w:val="44"/>
          <w:szCs w:val="44"/>
        </w:rPr>
      </w:pPr>
      <w:r>
        <w:rPr>
          <w:rFonts w:hint="eastAsia" w:ascii="仿宋" w:hAnsi="仿宋" w:eastAsia="仿宋"/>
          <w:sz w:val="44"/>
          <w:szCs w:val="44"/>
        </w:rPr>
        <w:t>§1  财政经济形势</w:t>
      </w:r>
    </w:p>
    <w:p>
      <w:pPr>
        <w:spacing w:line="550" w:lineRule="exact"/>
        <w:ind w:firstLine="640"/>
        <w:rPr>
          <w:rFonts w:ascii="仿宋" w:hAnsi="仿宋" w:eastAsia="仿宋"/>
          <w:b/>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2019年是新中国成立70周年，是全面建成小康社会关键之年，</w:t>
      </w:r>
      <w:r>
        <w:rPr>
          <w:rFonts w:hint="eastAsia" w:ascii="仿宋" w:hAnsi="仿宋" w:eastAsia="仿宋" w:cs="宋体"/>
          <w:sz w:val="32"/>
          <w:szCs w:val="32"/>
        </w:rPr>
        <w:t>做好全年财政经济工作</w:t>
      </w:r>
      <w:r>
        <w:rPr>
          <w:rFonts w:hint="eastAsia" w:ascii="仿宋" w:hAnsi="仿宋" w:eastAsia="仿宋"/>
          <w:sz w:val="32"/>
          <w:szCs w:val="32"/>
        </w:rPr>
        <w:t>，</w:t>
      </w:r>
      <w:r>
        <w:rPr>
          <w:rFonts w:hint="eastAsia" w:ascii="仿宋" w:hAnsi="仿宋" w:eastAsia="仿宋" w:cs="宋体"/>
          <w:sz w:val="32"/>
          <w:szCs w:val="32"/>
        </w:rPr>
        <w:t>既面临严峻挑战，又面临重大机遇。从收入看，受上下级财政体制和减税降费等政策影响，本级财政增收难度很大。从支出看，</w:t>
      </w:r>
      <w:r>
        <w:rPr>
          <w:rFonts w:hint="eastAsia" w:ascii="仿宋" w:hAnsi="仿宋" w:eastAsia="仿宋"/>
          <w:sz w:val="32"/>
          <w:szCs w:val="32"/>
        </w:rPr>
        <w:t>受执行各项人员增资政策</w:t>
      </w:r>
      <w:r>
        <w:rPr>
          <w:rFonts w:hint="eastAsia" w:ascii="仿宋" w:hAnsi="仿宋" w:eastAsia="仿宋"/>
          <w:color w:val="000000"/>
          <w:sz w:val="32"/>
          <w:szCs w:val="32"/>
        </w:rPr>
        <w:t>、</w:t>
      </w:r>
      <w:r>
        <w:rPr>
          <w:rFonts w:hint="eastAsia" w:ascii="仿宋" w:hAnsi="仿宋" w:eastAsia="仿宋"/>
          <w:sz w:val="32"/>
          <w:szCs w:val="32"/>
        </w:rPr>
        <w:t>各项民生政策支出标准提高和政府债务还本付息高峰期到来等各项刚性支出叠加因素影响，财政收支矛盾异常突出。</w:t>
      </w: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30" w:firstLineChars="196"/>
        <w:rPr>
          <w:rFonts w:ascii="仿宋" w:hAnsi="仿宋" w:eastAsia="仿宋"/>
          <w:b/>
          <w:sz w:val="32"/>
          <w:szCs w:val="32"/>
        </w:rPr>
      </w:pPr>
    </w:p>
    <w:p>
      <w:pPr>
        <w:spacing w:line="550" w:lineRule="exact"/>
        <w:ind w:firstLine="627" w:firstLineChars="196"/>
        <w:rPr>
          <w:rFonts w:ascii="仿宋" w:hAnsi="仿宋" w:eastAsia="仿宋"/>
          <w:sz w:val="32"/>
          <w:szCs w:val="32"/>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32"/>
          <w:szCs w:val="32"/>
        </w:rPr>
      </w:pPr>
      <w:r>
        <w:rPr>
          <w:rFonts w:hint="eastAsia" w:ascii="仿宋" w:hAnsi="仿宋" w:eastAsia="仿宋"/>
          <w:b/>
          <w:sz w:val="44"/>
          <w:szCs w:val="44"/>
        </w:rPr>
        <w:t>§2  预算编制的指导思想和原则</w:t>
      </w:r>
    </w:p>
    <w:p>
      <w:pPr>
        <w:spacing w:line="580" w:lineRule="exact"/>
        <w:jc w:val="center"/>
        <w:rPr>
          <w:rFonts w:ascii="仿宋" w:hAnsi="仿宋" w:eastAsia="仿宋"/>
          <w:sz w:val="44"/>
          <w:szCs w:val="44"/>
        </w:rPr>
      </w:pPr>
    </w:p>
    <w:p>
      <w:pPr>
        <w:spacing w:line="580" w:lineRule="exact"/>
        <w:ind w:firstLine="630" w:firstLineChars="196"/>
        <w:outlineLvl w:val="0"/>
        <w:rPr>
          <w:rFonts w:ascii="仿宋" w:hAnsi="仿宋" w:eastAsia="仿宋"/>
          <w:b/>
          <w:sz w:val="32"/>
          <w:szCs w:val="32"/>
        </w:rPr>
      </w:pPr>
      <w:r>
        <w:rPr>
          <w:rFonts w:hint="eastAsia" w:ascii="仿宋" w:hAnsi="仿宋" w:eastAsia="仿宋"/>
          <w:b/>
          <w:sz w:val="32"/>
          <w:szCs w:val="32"/>
        </w:rPr>
        <w:t>一、预算编制的指导思想</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全面贯彻党的十九大精神，以习近平新时代中国特色社会主义思想为统领，认真落实省委省政府、市委市政府和区委的决策部署，坚持稳中求进工作总基调，坚持新发展理念和高质量发展，坚持以人民为中心的发展思想，坚持走生态优先、绿色发展之路，统筹推进稳增长、抓项目、强管理、惠民生、促改革、防风险各项工作，为开创新时代建设活力之城、幸福双桥新局面而不懈努力。</w:t>
      </w:r>
    </w:p>
    <w:p>
      <w:pPr>
        <w:spacing w:line="580" w:lineRule="exact"/>
        <w:ind w:right="44" w:firstLine="643" w:firstLineChars="200"/>
        <w:outlineLvl w:val="0"/>
        <w:rPr>
          <w:rFonts w:ascii="仿宋" w:hAnsi="仿宋" w:eastAsia="仿宋"/>
          <w:b/>
          <w:sz w:val="32"/>
          <w:szCs w:val="32"/>
        </w:rPr>
      </w:pPr>
      <w:r>
        <w:rPr>
          <w:rFonts w:hint="eastAsia" w:ascii="仿宋" w:hAnsi="仿宋" w:eastAsia="仿宋"/>
          <w:b/>
          <w:sz w:val="32"/>
          <w:szCs w:val="32"/>
        </w:rPr>
        <w:t>二、预算编制遵循的基本原则</w:t>
      </w:r>
    </w:p>
    <w:p>
      <w:pPr>
        <w:shd w:val="clear" w:color="auto" w:fill="FFFFFF"/>
        <w:spacing w:line="520" w:lineRule="atLeast"/>
        <w:ind w:firstLine="643" w:firstLineChars="20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1、深化改革。</w:t>
      </w:r>
      <w:r>
        <w:rPr>
          <w:rFonts w:hint="eastAsia" w:ascii="仿宋" w:hAnsi="仿宋" w:eastAsia="仿宋" w:cs="Arial"/>
          <w:bCs/>
          <w:color w:val="000000"/>
          <w:sz w:val="32"/>
          <w:szCs w:val="32"/>
          <w:shd w:val="clear" w:color="auto" w:fill="FFFFFF"/>
        </w:rPr>
        <w:t>深入贯彻落实中央、省、市有关改革要求，以改革纾解矛盾、释放红利。</w:t>
      </w:r>
    </w:p>
    <w:p>
      <w:pPr>
        <w:shd w:val="clear" w:color="auto" w:fill="FFFFFF"/>
        <w:spacing w:line="520" w:lineRule="atLeast"/>
        <w:ind w:firstLine="643" w:firstLineChars="20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2、依法理财。</w:t>
      </w:r>
      <w:r>
        <w:rPr>
          <w:rFonts w:hint="eastAsia" w:ascii="仿宋" w:hAnsi="仿宋" w:eastAsia="仿宋" w:cs="Arial"/>
          <w:bCs/>
          <w:color w:val="000000"/>
          <w:sz w:val="32"/>
          <w:szCs w:val="32"/>
          <w:shd w:val="clear" w:color="auto" w:fill="FFFFFF"/>
        </w:rPr>
        <w:t>全面落实《中华人民共和国预算法》等法律法规，改进预算编审程序，细化项目编制，硬化预算约束，推进预算公开。</w:t>
      </w:r>
    </w:p>
    <w:p>
      <w:pPr>
        <w:shd w:val="clear" w:color="auto" w:fill="FFFFFF"/>
        <w:spacing w:line="520" w:lineRule="atLeast"/>
        <w:ind w:firstLine="643" w:firstLineChars="20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3、绩效导向。</w:t>
      </w:r>
      <w:r>
        <w:rPr>
          <w:rFonts w:hint="eastAsia" w:ascii="仿宋" w:hAnsi="仿宋" w:eastAsia="仿宋" w:cs="Arial"/>
          <w:bCs/>
          <w:color w:val="000000"/>
          <w:sz w:val="32"/>
          <w:szCs w:val="32"/>
          <w:shd w:val="clear" w:color="auto" w:fill="FFFFFF"/>
        </w:rPr>
        <w:t>深化部门绩效预算改革，将绩效管理理念和方法融入预算编制全过程；改进财政投入方式，大力推行股权投资、PPP模式、政府购买服务，撬动社会资金支持经济发展。</w:t>
      </w:r>
    </w:p>
    <w:p>
      <w:pPr>
        <w:shd w:val="clear" w:color="auto" w:fill="FFFFFF"/>
        <w:spacing w:line="520" w:lineRule="atLeast"/>
        <w:ind w:firstLine="482" w:firstLineChars="15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4、整合财力。</w:t>
      </w:r>
      <w:r>
        <w:rPr>
          <w:rFonts w:hint="eastAsia" w:ascii="仿宋" w:hAnsi="仿宋" w:eastAsia="仿宋" w:cs="Arial"/>
          <w:bCs/>
          <w:color w:val="000000"/>
          <w:sz w:val="32"/>
          <w:szCs w:val="32"/>
          <w:shd w:val="clear" w:color="auto" w:fill="FFFFFF"/>
        </w:rPr>
        <w:t>整合政府各种可用资金，打破资金壁垒，统筹安排支出，提高资金支持经济发展。</w:t>
      </w:r>
    </w:p>
    <w:p>
      <w:pPr>
        <w:shd w:val="clear" w:color="auto" w:fill="FFFFFF"/>
        <w:spacing w:line="520" w:lineRule="atLeast"/>
        <w:ind w:firstLine="482" w:firstLineChars="150"/>
        <w:rPr>
          <w:rFonts w:ascii="仿宋" w:hAnsi="仿宋" w:eastAsia="仿宋" w:cs="Arial"/>
          <w:bCs/>
          <w:color w:val="333333"/>
          <w:sz w:val="32"/>
          <w:szCs w:val="32"/>
          <w:shd w:val="clear" w:color="auto" w:fill="FFFFFF"/>
        </w:rPr>
      </w:pPr>
      <w:r>
        <w:rPr>
          <w:rFonts w:hint="eastAsia" w:ascii="仿宋" w:hAnsi="仿宋" w:eastAsia="仿宋" w:cs="Arial"/>
          <w:b/>
          <w:bCs/>
          <w:color w:val="000000"/>
          <w:sz w:val="32"/>
          <w:szCs w:val="32"/>
          <w:shd w:val="clear" w:color="auto" w:fill="FFFFFF"/>
        </w:rPr>
        <w:t>5、统筹兼顾。</w:t>
      </w:r>
      <w:r>
        <w:rPr>
          <w:rFonts w:hint="eastAsia" w:ascii="仿宋" w:hAnsi="仿宋" w:eastAsia="仿宋" w:cs="Arial"/>
          <w:bCs/>
          <w:color w:val="000000"/>
          <w:sz w:val="32"/>
          <w:szCs w:val="32"/>
          <w:shd w:val="clear" w:color="auto" w:fill="FFFFFF"/>
        </w:rPr>
        <w:t>全面保障民生，支持重点区域、重点产业发展，同时坚持厉行节约，严格控制一般性支出。</w:t>
      </w:r>
    </w:p>
    <w:p>
      <w:pPr>
        <w:spacing w:line="580" w:lineRule="exact"/>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r>
        <w:rPr>
          <w:rFonts w:hint="eastAsia" w:ascii="仿宋" w:hAnsi="仿宋" w:eastAsia="仿宋"/>
          <w:b/>
          <w:sz w:val="44"/>
          <w:szCs w:val="44"/>
        </w:rPr>
        <w:t>第二部分</w:t>
      </w: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r>
        <w:rPr>
          <w:rFonts w:hint="eastAsia" w:ascii="仿宋" w:hAnsi="仿宋" w:eastAsia="仿宋"/>
          <w:b/>
          <w:sz w:val="44"/>
          <w:szCs w:val="44"/>
        </w:rPr>
        <w:t>2019年一般公共预算总体情况</w:t>
      </w:r>
    </w:p>
    <w:p>
      <w:pPr>
        <w:spacing w:line="580" w:lineRule="exact"/>
        <w:jc w:val="center"/>
        <w:rPr>
          <w:rFonts w:ascii="仿宋" w:hAnsi="仿宋" w:eastAsia="仿宋"/>
          <w:sz w:val="32"/>
          <w:szCs w:val="32"/>
        </w:rPr>
      </w:pPr>
    </w:p>
    <w:p>
      <w:pPr>
        <w:spacing w:line="580" w:lineRule="exact"/>
        <w:jc w:val="center"/>
        <w:rPr>
          <w:rFonts w:ascii="仿宋" w:hAnsi="仿宋" w:eastAsia="仿宋"/>
          <w:sz w:val="32"/>
          <w:szCs w:val="32"/>
        </w:rPr>
      </w:pPr>
    </w:p>
    <w:p>
      <w:pPr>
        <w:spacing w:line="580" w:lineRule="exact"/>
        <w:jc w:val="center"/>
        <w:rPr>
          <w:rFonts w:ascii="仿宋" w:hAnsi="仿宋" w:eastAsia="仿宋"/>
          <w:sz w:val="32"/>
          <w:szCs w:val="32"/>
        </w:rPr>
      </w:pPr>
    </w:p>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p>
    <w:p>
      <w:pPr>
        <w:spacing w:line="580" w:lineRule="exact"/>
        <w:jc w:val="center"/>
        <w:rPr>
          <w:rFonts w:ascii="仿宋" w:hAnsi="仿宋" w:eastAsia="仿宋"/>
          <w:b/>
          <w:sz w:val="44"/>
          <w:szCs w:val="44"/>
        </w:rPr>
      </w:pPr>
      <w:r>
        <w:rPr>
          <w:rFonts w:hint="eastAsia" w:ascii="仿宋" w:hAnsi="仿宋" w:eastAsia="仿宋"/>
          <w:b/>
          <w:sz w:val="44"/>
          <w:szCs w:val="44"/>
        </w:rPr>
        <w:t>§1  2019年一般公共收支预算及平衡情况</w:t>
      </w:r>
    </w:p>
    <w:p>
      <w:pPr>
        <w:spacing w:line="580" w:lineRule="exact"/>
        <w:rPr>
          <w:rFonts w:ascii="仿宋" w:hAnsi="仿宋" w:eastAsia="仿宋"/>
          <w:sz w:val="32"/>
          <w:szCs w:val="32"/>
        </w:rPr>
      </w:pPr>
    </w:p>
    <w:p>
      <w:pPr>
        <w:spacing w:line="580" w:lineRule="exact"/>
        <w:ind w:firstLine="640"/>
        <w:outlineLvl w:val="0"/>
        <w:rPr>
          <w:rFonts w:ascii="仿宋" w:hAnsi="仿宋" w:eastAsia="仿宋"/>
          <w:b/>
          <w:sz w:val="32"/>
        </w:rPr>
      </w:pPr>
      <w:r>
        <w:rPr>
          <w:rFonts w:hint="eastAsia" w:ascii="仿宋" w:hAnsi="仿宋" w:eastAsia="仿宋"/>
          <w:b/>
          <w:sz w:val="32"/>
        </w:rPr>
        <w:t>一、一般公共收入预算</w:t>
      </w:r>
    </w:p>
    <w:p>
      <w:pPr>
        <w:spacing w:line="580" w:lineRule="exact"/>
        <w:ind w:firstLine="640"/>
        <w:rPr>
          <w:rFonts w:ascii="仿宋" w:hAnsi="仿宋" w:eastAsia="仿宋"/>
          <w:sz w:val="32"/>
        </w:rPr>
      </w:pPr>
      <w:r>
        <w:rPr>
          <w:rFonts w:hint="eastAsia" w:ascii="仿宋" w:hAnsi="仿宋" w:eastAsia="仿宋"/>
          <w:sz w:val="32"/>
        </w:rPr>
        <w:t>全区一般公共预算总收入470084万元，主要包括：</w:t>
      </w:r>
    </w:p>
    <w:p>
      <w:pPr>
        <w:widowControl w:val="0"/>
        <w:numPr>
          <w:numId w:val="0"/>
        </w:numPr>
        <w:spacing w:line="580" w:lineRule="exact"/>
        <w:ind w:left="640" w:leftChars="0"/>
        <w:jc w:val="both"/>
        <w:rPr>
          <w:rFonts w:ascii="仿宋" w:hAnsi="仿宋" w:eastAsia="仿宋"/>
          <w:sz w:val="32"/>
        </w:rPr>
      </w:pPr>
      <w:r>
        <w:rPr>
          <w:rFonts w:hint="eastAsia" w:ascii="仿宋" w:hAnsi="仿宋" w:eastAsia="仿宋" w:cs="仿宋"/>
          <w:sz w:val="32"/>
        </w:rPr>
        <w:t>①</w:t>
      </w:r>
      <w:r>
        <w:rPr>
          <w:rFonts w:hint="eastAsia" w:ascii="仿宋" w:hAnsi="仿宋" w:eastAsia="仿宋"/>
          <w:sz w:val="32"/>
        </w:rPr>
        <w:t>区级收入预算安排168000万元。其中：税收收入158200万元，非税收入9800万元。</w:t>
      </w:r>
    </w:p>
    <w:p>
      <w:pPr>
        <w:spacing w:line="580" w:lineRule="exact"/>
        <w:ind w:firstLine="640"/>
        <w:rPr>
          <w:rFonts w:ascii="仿宋" w:hAnsi="仿宋" w:eastAsia="仿宋"/>
          <w:sz w:val="32"/>
        </w:rPr>
      </w:pPr>
      <w:r>
        <w:rPr>
          <w:rFonts w:hint="eastAsia" w:ascii="仿宋" w:hAnsi="仿宋" w:eastAsia="仿宋"/>
          <w:sz w:val="32"/>
        </w:rPr>
        <w:t>②财政体制补助收入21292万元。</w:t>
      </w:r>
    </w:p>
    <w:p>
      <w:pPr>
        <w:spacing w:line="580" w:lineRule="exact"/>
        <w:ind w:firstLine="640"/>
        <w:rPr>
          <w:rFonts w:ascii="仿宋" w:hAnsi="仿宋" w:eastAsia="仿宋"/>
          <w:sz w:val="32"/>
        </w:rPr>
      </w:pPr>
      <w:r>
        <w:rPr>
          <w:rFonts w:hint="eastAsia" w:ascii="仿宋" w:hAnsi="仿宋" w:eastAsia="仿宋"/>
          <w:sz w:val="32"/>
        </w:rPr>
        <w:t>③上级转移支付收入9787万元。</w:t>
      </w:r>
    </w:p>
    <w:p>
      <w:pPr>
        <w:spacing w:line="580" w:lineRule="exact"/>
        <w:ind w:firstLine="640"/>
        <w:rPr>
          <w:rFonts w:ascii="仿宋" w:hAnsi="仿宋" w:eastAsia="仿宋"/>
          <w:sz w:val="32"/>
        </w:rPr>
      </w:pPr>
      <w:r>
        <w:rPr>
          <w:rFonts w:hint="eastAsia" w:ascii="仿宋" w:hAnsi="仿宋" w:eastAsia="仿宋"/>
          <w:sz w:val="32"/>
        </w:rPr>
        <w:t>④调入资金243000万元。其中：调入政府性基金收入243000万元。</w:t>
      </w:r>
    </w:p>
    <w:p>
      <w:pPr>
        <w:spacing w:line="580" w:lineRule="exact"/>
        <w:ind w:firstLine="640"/>
        <w:rPr>
          <w:rFonts w:ascii="仿宋" w:hAnsi="仿宋" w:eastAsia="仿宋"/>
          <w:sz w:val="32"/>
        </w:rPr>
      </w:pPr>
      <w:r>
        <w:rPr>
          <w:rFonts w:hint="eastAsia" w:ascii="仿宋" w:hAnsi="仿宋" w:eastAsia="仿宋"/>
          <w:sz w:val="32"/>
        </w:rPr>
        <w:t>⑤上年结转资金28005万元（</w:t>
      </w:r>
      <w:r>
        <w:rPr>
          <w:rFonts w:hint="eastAsia" w:ascii="仿宋" w:hAnsi="仿宋" w:eastAsia="仿宋" w:cs="仿宋_GB2312"/>
          <w:color w:val="000000"/>
          <w:sz w:val="32"/>
          <w:szCs w:val="32"/>
        </w:rPr>
        <w:t>其中：调入预算稳定调节基金安排的转移支付支出14863万元</w:t>
      </w:r>
      <w:r>
        <w:rPr>
          <w:rFonts w:hint="eastAsia" w:ascii="仿宋" w:hAnsi="仿宋" w:eastAsia="仿宋"/>
          <w:sz w:val="32"/>
        </w:rPr>
        <w:t>）。</w:t>
      </w:r>
    </w:p>
    <w:p>
      <w:pPr>
        <w:spacing w:line="580" w:lineRule="exact"/>
        <w:ind w:firstLine="640"/>
        <w:outlineLvl w:val="0"/>
        <w:rPr>
          <w:rFonts w:ascii="仿宋" w:hAnsi="仿宋" w:eastAsia="仿宋"/>
          <w:b/>
          <w:sz w:val="32"/>
        </w:rPr>
      </w:pPr>
      <w:r>
        <w:rPr>
          <w:rFonts w:hint="eastAsia" w:ascii="仿宋" w:hAnsi="仿宋" w:eastAsia="仿宋"/>
          <w:b/>
          <w:sz w:val="32"/>
        </w:rPr>
        <w:t>二、一般公共支出预算</w:t>
      </w:r>
    </w:p>
    <w:p>
      <w:pPr>
        <w:spacing w:line="580" w:lineRule="exact"/>
        <w:ind w:firstLine="640"/>
        <w:rPr>
          <w:rFonts w:ascii="仿宋" w:hAnsi="仿宋" w:eastAsia="仿宋"/>
          <w:sz w:val="32"/>
        </w:rPr>
      </w:pPr>
      <w:r>
        <w:rPr>
          <w:rFonts w:hint="eastAsia" w:ascii="仿宋" w:hAnsi="仿宋" w:eastAsia="仿宋"/>
          <w:sz w:val="32"/>
        </w:rPr>
        <w:t>全区一般公共预算总支出470084万元，主要包括：</w:t>
      </w:r>
    </w:p>
    <w:p>
      <w:pPr>
        <w:widowControl w:val="0"/>
        <w:numPr>
          <w:numId w:val="0"/>
        </w:numPr>
        <w:spacing w:line="580" w:lineRule="exact"/>
        <w:ind w:left="640" w:leftChars="0"/>
        <w:jc w:val="both"/>
        <w:rPr>
          <w:rFonts w:ascii="仿宋" w:hAnsi="仿宋" w:eastAsia="仿宋"/>
          <w:sz w:val="32"/>
        </w:rPr>
      </w:pPr>
      <w:r>
        <w:rPr>
          <w:rFonts w:hint="eastAsia" w:ascii="仿宋" w:hAnsi="仿宋" w:eastAsia="仿宋" w:cs="仿宋"/>
          <w:sz w:val="32"/>
        </w:rPr>
        <w:t>①</w:t>
      </w:r>
      <w:r>
        <w:rPr>
          <w:rFonts w:hint="eastAsia" w:ascii="仿宋" w:hAnsi="仿宋" w:eastAsia="仿宋"/>
          <w:sz w:val="32"/>
        </w:rPr>
        <w:t>区公共财政安排支出380792万元。</w:t>
      </w:r>
    </w:p>
    <w:p>
      <w:pPr>
        <w:spacing w:line="580" w:lineRule="exact"/>
        <w:ind w:firstLine="640"/>
        <w:rPr>
          <w:rFonts w:ascii="仿宋" w:hAnsi="仿宋" w:eastAsia="仿宋"/>
          <w:sz w:val="32"/>
        </w:rPr>
      </w:pPr>
      <w:r>
        <w:rPr>
          <w:rFonts w:hint="eastAsia" w:ascii="仿宋" w:hAnsi="仿宋" w:eastAsia="仿宋"/>
          <w:sz w:val="32"/>
        </w:rPr>
        <w:t>②上解市级支出89292万元。</w:t>
      </w: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r>
        <w:rPr>
          <w:rFonts w:hint="eastAsia" w:ascii="仿宋" w:hAnsi="仿宋" w:eastAsia="仿宋"/>
          <w:b/>
          <w:sz w:val="32"/>
        </w:rPr>
        <w:t>三、一般公共预算收支平衡情况</w:t>
      </w:r>
    </w:p>
    <w:p>
      <w:pPr>
        <w:spacing w:line="580" w:lineRule="exact"/>
        <w:ind w:right="45"/>
        <w:jc w:val="center"/>
        <w:rPr>
          <w:rFonts w:ascii="仿宋" w:hAnsi="仿宋" w:eastAsia="仿宋"/>
          <w:b/>
          <w:sz w:val="32"/>
          <w:szCs w:val="32"/>
        </w:rPr>
      </w:pPr>
      <w:r>
        <w:rPr>
          <w:rFonts w:hint="eastAsia" w:ascii="仿宋" w:hAnsi="仿宋" w:eastAsia="仿宋"/>
          <w:b/>
          <w:sz w:val="32"/>
          <w:szCs w:val="32"/>
        </w:rPr>
        <w:t>2019年公共财政预算收支平衡情况表</w:t>
      </w:r>
    </w:p>
    <w:tbl>
      <w:tblPr>
        <w:tblStyle w:val="10"/>
        <w:tblW w:w="9215" w:type="dxa"/>
        <w:jc w:val="center"/>
        <w:tblInd w:w="0" w:type="dxa"/>
        <w:tblLayout w:type="fixed"/>
        <w:tblCellMar>
          <w:top w:w="0" w:type="dxa"/>
          <w:left w:w="108" w:type="dxa"/>
          <w:bottom w:w="0" w:type="dxa"/>
          <w:right w:w="108" w:type="dxa"/>
        </w:tblCellMar>
      </w:tblPr>
      <w:tblGrid>
        <w:gridCol w:w="3758"/>
        <w:gridCol w:w="1236"/>
        <w:gridCol w:w="3263"/>
        <w:gridCol w:w="958"/>
      </w:tblGrid>
      <w:tr>
        <w:tblPrEx>
          <w:tblLayout w:type="fixed"/>
          <w:tblCellMar>
            <w:top w:w="0" w:type="dxa"/>
            <w:left w:w="108" w:type="dxa"/>
            <w:bottom w:w="0" w:type="dxa"/>
            <w:right w:w="108" w:type="dxa"/>
          </w:tblCellMar>
        </w:tblPrEx>
        <w:trPr>
          <w:trHeight w:val="338" w:hRule="atLeast"/>
          <w:jc w:val="center"/>
        </w:trPr>
        <w:tc>
          <w:tcPr>
            <w:tcW w:w="9215" w:type="dxa"/>
            <w:gridSpan w:val="4"/>
            <w:tcBorders>
              <w:top w:val="nil"/>
              <w:left w:val="nil"/>
              <w:bottom w:val="nil"/>
              <w:right w:val="nil"/>
            </w:tcBorders>
            <w:shd w:val="clear" w:color="auto" w:fill="auto"/>
            <w:vAlign w:val="center"/>
          </w:tcPr>
          <w:p>
            <w:pPr>
              <w:spacing w:line="240" w:lineRule="exact"/>
              <w:jc w:val="right"/>
              <w:rPr>
                <w:rFonts w:ascii="仿宋" w:hAnsi="仿宋" w:eastAsia="仿宋" w:cs="宋体"/>
                <w:b/>
                <w:szCs w:val="21"/>
              </w:rPr>
            </w:pPr>
            <w:r>
              <w:rPr>
                <w:rFonts w:hint="eastAsia" w:ascii="仿宋" w:hAnsi="仿宋" w:eastAsia="仿宋" w:cs="宋体"/>
                <w:b/>
                <w:szCs w:val="21"/>
              </w:rPr>
              <w:t>单位：万元</w:t>
            </w:r>
          </w:p>
        </w:tc>
      </w:tr>
      <w:tr>
        <w:tblPrEx>
          <w:tblLayout w:type="fixed"/>
          <w:tblCellMar>
            <w:top w:w="0" w:type="dxa"/>
            <w:left w:w="108" w:type="dxa"/>
            <w:bottom w:w="0" w:type="dxa"/>
            <w:right w:w="108" w:type="dxa"/>
          </w:tblCellMar>
        </w:tblPrEx>
        <w:trPr>
          <w:trHeight w:val="195" w:hRule="atLeast"/>
          <w:jc w:val="center"/>
        </w:trPr>
        <w:tc>
          <w:tcPr>
            <w:tcW w:w="37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b/>
                <w:bCs/>
                <w:szCs w:val="21"/>
              </w:rPr>
            </w:pPr>
            <w:r>
              <w:rPr>
                <w:rFonts w:hint="eastAsia" w:ascii="仿宋" w:hAnsi="仿宋" w:eastAsia="仿宋" w:cs="宋体"/>
                <w:b/>
                <w:bCs/>
                <w:szCs w:val="21"/>
              </w:rPr>
              <w:t>预算科目</w:t>
            </w:r>
          </w:p>
        </w:tc>
        <w:tc>
          <w:tcPr>
            <w:tcW w:w="1236" w:type="dxa"/>
            <w:tcBorders>
              <w:top w:val="single" w:color="auto" w:sz="4" w:space="0"/>
              <w:left w:val="nil"/>
              <w:bottom w:val="nil"/>
              <w:right w:val="single" w:color="auto" w:sz="4" w:space="0"/>
            </w:tcBorders>
            <w:shd w:val="clear" w:color="auto" w:fill="auto"/>
            <w:vAlign w:val="center"/>
          </w:tcPr>
          <w:p>
            <w:pPr>
              <w:spacing w:line="300" w:lineRule="exact"/>
              <w:jc w:val="center"/>
              <w:rPr>
                <w:rFonts w:ascii="仿宋" w:hAnsi="仿宋" w:eastAsia="仿宋" w:cs="宋体"/>
                <w:b/>
                <w:bCs/>
                <w:szCs w:val="21"/>
              </w:rPr>
            </w:pPr>
            <w:r>
              <w:rPr>
                <w:rFonts w:hint="eastAsia" w:ascii="仿宋" w:hAnsi="仿宋" w:eastAsia="仿宋" w:cs="宋体"/>
                <w:b/>
                <w:bCs/>
                <w:szCs w:val="21"/>
              </w:rPr>
              <w:t>预算数</w:t>
            </w:r>
          </w:p>
        </w:tc>
        <w:tc>
          <w:tcPr>
            <w:tcW w:w="3263"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b/>
                <w:bCs/>
                <w:szCs w:val="21"/>
              </w:rPr>
            </w:pPr>
            <w:r>
              <w:rPr>
                <w:rFonts w:hint="eastAsia" w:ascii="仿宋" w:hAnsi="仿宋" w:eastAsia="仿宋" w:cs="宋体"/>
                <w:b/>
                <w:bCs/>
                <w:szCs w:val="21"/>
              </w:rPr>
              <w:t>预算科目</w:t>
            </w:r>
          </w:p>
        </w:tc>
        <w:tc>
          <w:tcPr>
            <w:tcW w:w="958" w:type="dxa"/>
            <w:tcBorders>
              <w:top w:val="single" w:color="auto" w:sz="4" w:space="0"/>
              <w:left w:val="nil"/>
              <w:bottom w:val="nil"/>
              <w:right w:val="single" w:color="auto" w:sz="4" w:space="0"/>
            </w:tcBorders>
            <w:shd w:val="clear" w:color="auto" w:fill="auto"/>
            <w:vAlign w:val="center"/>
          </w:tcPr>
          <w:p>
            <w:pPr>
              <w:spacing w:line="300" w:lineRule="exact"/>
              <w:jc w:val="center"/>
              <w:rPr>
                <w:rFonts w:ascii="仿宋" w:hAnsi="仿宋" w:eastAsia="仿宋" w:cs="宋体"/>
                <w:b/>
                <w:bCs/>
                <w:szCs w:val="21"/>
              </w:rPr>
            </w:pPr>
            <w:r>
              <w:rPr>
                <w:rFonts w:hint="eastAsia" w:ascii="仿宋" w:hAnsi="仿宋" w:eastAsia="仿宋" w:cs="宋体"/>
                <w:b/>
                <w:bCs/>
                <w:szCs w:val="21"/>
              </w:rPr>
              <w:t>预算数</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公共财政收入</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168000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公共财政支出</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380792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上级补助收入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31079</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补助下级支出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返还性收入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21629</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返还性支出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增值税和消费税税收返还收入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2416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增值税和消费税税收返还支出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所得税基数返还收入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所得税基数返还支出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szCs w:val="21"/>
              </w:rPr>
            </w:pPr>
            <w:r>
              <w:rPr>
                <w:rFonts w:hint="eastAsia" w:ascii="仿宋" w:hAnsi="仿宋" w:eastAsia="仿宋"/>
                <w:szCs w:val="21"/>
              </w:rPr>
              <w:t>成品油价格和税费改革转移支付收入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szCs w:val="21"/>
              </w:rPr>
            </w:pPr>
            <w:r>
              <w:rPr>
                <w:rFonts w:hint="eastAsia" w:ascii="仿宋" w:hAnsi="仿宋" w:eastAsia="仿宋"/>
                <w:szCs w:val="21"/>
              </w:rPr>
              <w:t>成品油价格和税费改革转移支付支出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szCs w:val="21"/>
              </w:rPr>
            </w:pPr>
            <w:r>
              <w:rPr>
                <w:rFonts w:hint="eastAsia" w:ascii="仿宋" w:hAnsi="仿宋" w:eastAsia="仿宋"/>
                <w:szCs w:val="21"/>
              </w:rPr>
              <w:t>其他税收返还收入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19213</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szCs w:val="21"/>
              </w:rPr>
            </w:pPr>
            <w:r>
              <w:rPr>
                <w:rFonts w:hint="eastAsia" w:ascii="仿宋" w:hAnsi="仿宋" w:eastAsia="仿宋"/>
                <w:szCs w:val="21"/>
              </w:rPr>
              <w:t>其他税收返还收入</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一般性转移支付收入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5656</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一般性转移支付</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体制补助收入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体制补助支出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均衡性转移支付收入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均衡性转移支付支出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革命老区及民族和边境地区转移支付收入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革命老区及民族和边境地区转移支付支出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调整工资转移支付补助收入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调整工资转移支付补助支出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农村税费改革转移支付收入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农村税费改革转移支付支出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县级基本财力保障机制奖补资金收入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县级基本财力保障机制奖补资金支出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结算补助收入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798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结算补助支出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化解债务补助收入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化解债务补助支出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资源枯竭型城市转移支付补助收入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资源枯竭型城市转移支付补助支出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企业事业单位划转补助收入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企业事业单位划转补助支出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成品油价格和税费改革转移支付补助收入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70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成品油价格和税费改革转移支付补助支出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工商部门停征两费转移支付收入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工商部门停征两费转移支付支出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基层公检法司转移支付收入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基层公检法司转移支付支出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义务教育等转移支付收入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425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义务教育等转移支付支出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基本养老保险和低保等转移支付收入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1684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基本养老保险和低保等转移支付支出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新型农村合作医疗等转移支付收入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新型农村合作医疗等转移支付支出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村级公益事业奖补等转移支付收入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村级公益事业奖补等转移支付支出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产粮(油)大县奖励资金收入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产粮(油)大县奖励资金支出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重点生态功能区转移支付收入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2679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重点生态功能区转移支付支出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其他一般性转移支付收入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其他一般性转移支付支出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专项转移支付收入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3794</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专项转移支付</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专项补助收入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3794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专项补助支出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增发国债补助收入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增发国债补助支出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地震灾后恢复重建补助收入</w:t>
            </w:r>
          </w:p>
        </w:tc>
        <w:tc>
          <w:tcPr>
            <w:tcW w:w="1236" w:type="dxa"/>
            <w:tcBorders>
              <w:top w:val="nil"/>
              <w:left w:val="single" w:color="auto" w:sz="4" w:space="0"/>
              <w:bottom w:val="nil"/>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  地震灾后恢复重建补助支出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省补助计划单列市收入</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计划单列市上解省支出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下级上解收入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上解上级支出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ind w:right="105"/>
              <w:jc w:val="right"/>
              <w:rPr>
                <w:rFonts w:ascii="仿宋" w:hAnsi="仿宋" w:eastAsia="仿宋" w:cs="宋体"/>
                <w:szCs w:val="21"/>
              </w:rPr>
            </w:pPr>
            <w:r>
              <w:rPr>
                <w:rFonts w:hint="eastAsia" w:ascii="仿宋" w:hAnsi="仿宋" w:eastAsia="仿宋" w:cs="宋体"/>
                <w:szCs w:val="21"/>
              </w:rPr>
              <w:t>89292</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体制上解收入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体制上解支出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89292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出口退税专项上解收入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出口退税专项上解支出</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ind w:right="105"/>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成品油价格和税费改革专项上解收入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成品油价格和税费改革专项上解支出</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专项上解收入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专项上解支出</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计划单列市上解省收入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省补助计划单列市支出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债务收入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国债还本支出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财政部代理发行地方政府债券收入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地方政府债券还本支出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债券转贷收入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债券转贷支出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转贷财政部代理发行地方政府债券收入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转贷财政部代理发行地方政府债券支出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国债转贷收入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增设预算周转金</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国债转贷资金上年结余</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拨付国债转贷资金数</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国债转贷转补助</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国债转贷资金结余</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上年结转</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13142　</w:t>
            </w:r>
          </w:p>
        </w:tc>
        <w:tc>
          <w:tcPr>
            <w:tcW w:w="3263" w:type="dxa"/>
            <w:tcBorders>
              <w:top w:val="nil"/>
              <w:left w:val="nil"/>
              <w:bottom w:val="single" w:color="auto" w:sz="4" w:space="0"/>
              <w:right w:val="single" w:color="auto" w:sz="4" w:space="0"/>
            </w:tcBorders>
            <w:shd w:val="clear" w:color="auto" w:fill="auto"/>
            <w:vAlign w:val="bottom"/>
          </w:tcPr>
          <w:p>
            <w:pPr>
              <w:spacing w:line="300" w:lineRule="exact"/>
              <w:rPr>
                <w:rFonts w:ascii="仿宋" w:hAnsi="仿宋" w:eastAsia="仿宋" w:cs="宋体"/>
                <w:szCs w:val="21"/>
              </w:rPr>
            </w:pPr>
            <w:r>
              <w:rPr>
                <w:rFonts w:hint="eastAsia" w:ascii="仿宋" w:hAnsi="仿宋" w:eastAsia="仿宋" w:cs="宋体"/>
                <w:szCs w:val="21"/>
              </w:rPr>
              <w:t>　</w:t>
            </w:r>
          </w:p>
        </w:tc>
        <w:tc>
          <w:tcPr>
            <w:tcW w:w="958" w:type="dxa"/>
            <w:tcBorders>
              <w:top w:val="nil"/>
              <w:left w:val="nil"/>
              <w:bottom w:val="nil"/>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调入预算稳定调节基金</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14863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安排预算稳定调节基金</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 xml:space="preserve">调入资金   </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243000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调出资金</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1.政府性基金调入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243000</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年终结余</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2.国有资本经营预算调入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减：结转下年的支出</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3.财政专户管理资金调入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净结余</w:t>
            </w:r>
          </w:p>
        </w:tc>
        <w:tc>
          <w:tcPr>
            <w:tcW w:w="958"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4.其他调入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b/>
                <w:bCs/>
                <w:szCs w:val="21"/>
              </w:rPr>
            </w:pPr>
            <w:r>
              <w:rPr>
                <w:rFonts w:hint="eastAsia" w:ascii="仿宋" w:hAnsi="仿宋" w:eastAsia="仿宋" w:cs="宋体"/>
                <w:b/>
                <w:bCs/>
                <w:szCs w:val="21"/>
              </w:rPr>
              <w:t>地震灾后恢复重建调入资金</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预算稳定调节基金调入</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xml:space="preserve">  财政专户管理资金</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0</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rPr>
                <w:rFonts w:ascii="仿宋" w:hAnsi="仿宋" w:eastAsia="仿宋" w:cs="宋体"/>
                <w:szCs w:val="21"/>
              </w:rPr>
            </w:pPr>
            <w:r>
              <w:rPr>
                <w:rFonts w:hint="eastAsia" w:ascii="仿宋" w:hAnsi="仿宋" w:eastAsia="仿宋" w:cs="宋体"/>
                <w:szCs w:val="21"/>
              </w:rPr>
              <w:t>　</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　</w:t>
            </w:r>
          </w:p>
        </w:tc>
      </w:tr>
      <w:tr>
        <w:tblPrEx>
          <w:tblLayout w:type="fixed"/>
          <w:tblCellMar>
            <w:top w:w="0" w:type="dxa"/>
            <w:left w:w="108" w:type="dxa"/>
            <w:bottom w:w="0" w:type="dxa"/>
            <w:right w:w="108" w:type="dxa"/>
          </w:tblCellMar>
        </w:tblPrEx>
        <w:trPr>
          <w:trHeight w:val="195" w:hRule="atLeast"/>
          <w:jc w:val="center"/>
        </w:trPr>
        <w:tc>
          <w:tcPr>
            <w:tcW w:w="3758" w:type="dxa"/>
            <w:tcBorders>
              <w:top w:val="nil"/>
              <w:left w:val="single" w:color="auto" w:sz="4" w:space="0"/>
              <w:bottom w:val="single" w:color="auto" w:sz="4" w:space="0"/>
              <w:right w:val="nil"/>
            </w:tcBorders>
            <w:shd w:val="clear" w:color="auto" w:fill="auto"/>
            <w:vAlign w:val="center"/>
          </w:tcPr>
          <w:p>
            <w:pPr>
              <w:spacing w:line="300" w:lineRule="exact"/>
              <w:jc w:val="center"/>
              <w:rPr>
                <w:rFonts w:ascii="仿宋" w:hAnsi="仿宋" w:eastAsia="仿宋" w:cs="宋体"/>
                <w:szCs w:val="21"/>
              </w:rPr>
            </w:pPr>
            <w:r>
              <w:rPr>
                <w:rFonts w:hint="eastAsia" w:ascii="仿宋" w:hAnsi="仿宋" w:eastAsia="仿宋" w:cs="宋体"/>
                <w:szCs w:val="21"/>
              </w:rPr>
              <w:t>收  入  总  计</w:t>
            </w:r>
          </w:p>
        </w:tc>
        <w:tc>
          <w:tcPr>
            <w:tcW w:w="123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470084</w:t>
            </w:r>
          </w:p>
        </w:tc>
        <w:tc>
          <w:tcPr>
            <w:tcW w:w="3263"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szCs w:val="21"/>
              </w:rPr>
            </w:pPr>
            <w:r>
              <w:rPr>
                <w:rFonts w:hint="eastAsia" w:ascii="仿宋" w:hAnsi="仿宋" w:eastAsia="仿宋" w:cs="宋体"/>
                <w:szCs w:val="21"/>
              </w:rPr>
              <w:t>支  出  总  计</w:t>
            </w:r>
          </w:p>
        </w:tc>
        <w:tc>
          <w:tcPr>
            <w:tcW w:w="958" w:type="dxa"/>
            <w:tcBorders>
              <w:top w:val="nil"/>
              <w:left w:val="nil"/>
              <w:bottom w:val="single" w:color="auto" w:sz="4" w:space="0"/>
              <w:right w:val="single" w:color="auto" w:sz="4" w:space="0"/>
            </w:tcBorders>
            <w:shd w:val="clear" w:color="auto" w:fill="auto"/>
            <w:vAlign w:val="center"/>
          </w:tcPr>
          <w:p>
            <w:pPr>
              <w:spacing w:line="300" w:lineRule="exact"/>
              <w:jc w:val="right"/>
              <w:rPr>
                <w:rFonts w:ascii="仿宋" w:hAnsi="仿宋" w:eastAsia="仿宋" w:cs="宋体"/>
                <w:szCs w:val="21"/>
              </w:rPr>
            </w:pPr>
            <w:r>
              <w:rPr>
                <w:rFonts w:hint="eastAsia" w:ascii="仿宋" w:hAnsi="仿宋" w:eastAsia="仿宋" w:cs="宋体"/>
                <w:szCs w:val="21"/>
              </w:rPr>
              <w:t>470084</w:t>
            </w:r>
          </w:p>
        </w:tc>
      </w:tr>
    </w:tbl>
    <w:p>
      <w:pPr>
        <w:spacing w:line="560" w:lineRule="exact"/>
        <w:rPr>
          <w:rFonts w:ascii="仿宋" w:hAnsi="仿宋" w:eastAsia="仿宋"/>
          <w:sz w:val="32"/>
        </w:rPr>
      </w:pPr>
    </w:p>
    <w:p>
      <w:pPr>
        <w:spacing w:line="580" w:lineRule="exact"/>
        <w:ind w:firstLine="640"/>
        <w:rPr>
          <w:rFonts w:ascii="仿宋" w:hAnsi="仿宋" w:eastAsia="仿宋"/>
          <w:sz w:val="32"/>
        </w:rPr>
      </w:pPr>
    </w:p>
    <w:p>
      <w:pPr>
        <w:spacing w:line="580" w:lineRule="exact"/>
        <w:ind w:firstLine="640"/>
        <w:rPr>
          <w:rFonts w:ascii="仿宋" w:hAnsi="仿宋" w:eastAsia="仿宋"/>
          <w:sz w:val="32"/>
        </w:rPr>
      </w:pPr>
      <w:r>
        <w:rPr>
          <w:rFonts w:hint="eastAsia" w:ascii="仿宋" w:hAnsi="仿宋" w:eastAsia="仿宋"/>
          <w:sz w:val="32"/>
        </w:rPr>
        <w:t>　</w:t>
      </w:r>
    </w:p>
    <w:p>
      <w:pPr>
        <w:spacing w:line="580" w:lineRule="exact"/>
        <w:ind w:firstLine="640"/>
        <w:rPr>
          <w:rFonts w:ascii="仿宋" w:hAnsi="仿宋" w:eastAsia="仿宋"/>
          <w:sz w:val="32"/>
        </w:rPr>
      </w:pPr>
    </w:p>
    <w:p>
      <w:pPr>
        <w:spacing w:line="580" w:lineRule="exact"/>
        <w:ind w:firstLine="640"/>
        <w:rPr>
          <w:rFonts w:ascii="仿宋" w:hAnsi="仿宋" w:eastAsia="仿宋"/>
          <w:sz w:val="32"/>
        </w:rPr>
      </w:pPr>
    </w:p>
    <w:p>
      <w:pPr>
        <w:spacing w:line="580" w:lineRule="exact"/>
        <w:ind w:firstLine="640"/>
        <w:rPr>
          <w:rFonts w:ascii="仿宋" w:hAnsi="仿宋" w:eastAsia="仿宋"/>
          <w:sz w:val="32"/>
        </w:rPr>
      </w:pPr>
    </w:p>
    <w:p>
      <w:pPr>
        <w:spacing w:line="580" w:lineRule="exact"/>
        <w:ind w:firstLine="640"/>
        <w:rPr>
          <w:rFonts w:ascii="仿宋" w:hAnsi="仿宋" w:eastAsia="仿宋"/>
          <w:sz w:val="32"/>
        </w:rPr>
      </w:pPr>
    </w:p>
    <w:p>
      <w:pPr>
        <w:spacing w:line="580" w:lineRule="exact"/>
        <w:ind w:right="44" w:firstLine="960" w:firstLineChars="300"/>
        <w:rPr>
          <w:rFonts w:ascii="仿宋" w:hAnsi="仿宋" w:eastAsia="仿宋"/>
          <w:sz w:val="32"/>
        </w:rPr>
      </w:pPr>
    </w:p>
    <w:p>
      <w:pPr>
        <w:spacing w:line="580" w:lineRule="exact"/>
        <w:ind w:right="44" w:firstLine="1325" w:firstLineChars="300"/>
        <w:rPr>
          <w:rFonts w:ascii="仿宋" w:hAnsi="仿宋" w:eastAsia="仿宋"/>
          <w:b/>
          <w:sz w:val="44"/>
          <w:szCs w:val="44"/>
        </w:rPr>
      </w:pPr>
      <w:r>
        <w:rPr>
          <w:rFonts w:hint="eastAsia" w:ascii="仿宋" w:hAnsi="仿宋" w:eastAsia="仿宋"/>
          <w:b/>
          <w:sz w:val="44"/>
          <w:szCs w:val="44"/>
        </w:rPr>
        <w:t xml:space="preserve">§2 </w:t>
      </w:r>
      <w:r>
        <w:rPr>
          <w:rFonts w:hint="eastAsia" w:ascii="仿宋" w:hAnsi="仿宋" w:eastAsia="仿宋" w:cs="宋体"/>
          <w:b/>
          <w:sz w:val="44"/>
          <w:szCs w:val="44"/>
        </w:rPr>
        <w:t>2019年一般公共收入预算</w:t>
      </w:r>
    </w:p>
    <w:tbl>
      <w:tblPr>
        <w:tblStyle w:val="10"/>
        <w:tblW w:w="7643" w:type="dxa"/>
        <w:jc w:val="center"/>
        <w:tblInd w:w="150" w:type="dxa"/>
        <w:tblLayout w:type="fixed"/>
        <w:tblCellMar>
          <w:top w:w="0" w:type="dxa"/>
          <w:left w:w="108" w:type="dxa"/>
          <w:bottom w:w="0" w:type="dxa"/>
          <w:right w:w="108" w:type="dxa"/>
        </w:tblCellMar>
      </w:tblPr>
      <w:tblGrid>
        <w:gridCol w:w="3600"/>
        <w:gridCol w:w="4043"/>
      </w:tblGrid>
      <w:tr>
        <w:tblPrEx>
          <w:tblLayout w:type="fixed"/>
          <w:tblCellMar>
            <w:top w:w="0" w:type="dxa"/>
            <w:left w:w="108" w:type="dxa"/>
            <w:bottom w:w="0" w:type="dxa"/>
            <w:right w:w="108" w:type="dxa"/>
          </w:tblCellMar>
        </w:tblPrEx>
        <w:trPr>
          <w:trHeight w:val="187" w:hRule="atLeast"/>
          <w:jc w:val="center"/>
        </w:trPr>
        <w:tc>
          <w:tcPr>
            <w:tcW w:w="3600" w:type="dxa"/>
            <w:tcBorders>
              <w:top w:val="nil"/>
              <w:left w:val="nil"/>
              <w:bottom w:val="nil"/>
              <w:right w:val="nil"/>
            </w:tcBorders>
            <w:shd w:val="clear" w:color="auto" w:fill="auto"/>
            <w:vAlign w:val="bottom"/>
          </w:tcPr>
          <w:p>
            <w:pPr>
              <w:rPr>
                <w:rFonts w:ascii="仿宋" w:hAnsi="仿宋" w:eastAsia="仿宋" w:cs="宋体"/>
                <w:sz w:val="10"/>
                <w:szCs w:val="10"/>
              </w:rPr>
            </w:pPr>
          </w:p>
        </w:tc>
        <w:tc>
          <w:tcPr>
            <w:tcW w:w="4043" w:type="dxa"/>
            <w:tcBorders>
              <w:top w:val="nil"/>
              <w:left w:val="nil"/>
              <w:bottom w:val="nil"/>
              <w:right w:val="nil"/>
            </w:tcBorders>
            <w:shd w:val="clear" w:color="auto" w:fill="auto"/>
            <w:vAlign w:val="bottom"/>
          </w:tcPr>
          <w:p>
            <w:pPr>
              <w:rPr>
                <w:rFonts w:ascii="仿宋" w:hAnsi="仿宋" w:eastAsia="仿宋" w:cs="宋体"/>
                <w:b/>
                <w:sz w:val="24"/>
              </w:rPr>
            </w:pPr>
            <w:r>
              <w:rPr>
                <w:rFonts w:hint="eastAsia" w:ascii="仿宋" w:hAnsi="仿宋" w:eastAsia="仿宋" w:cs="宋体"/>
                <w:b/>
                <w:sz w:val="24"/>
              </w:rPr>
              <w:t>单位：万元</w:t>
            </w:r>
          </w:p>
        </w:tc>
      </w:tr>
      <w:tr>
        <w:tblPrEx>
          <w:tblLayout w:type="fixed"/>
          <w:tblCellMar>
            <w:top w:w="0" w:type="dxa"/>
            <w:left w:w="108" w:type="dxa"/>
            <w:bottom w:w="0" w:type="dxa"/>
            <w:right w:w="108" w:type="dxa"/>
          </w:tblCellMar>
        </w:tblPrEx>
        <w:trPr>
          <w:trHeight w:val="181" w:hRule="atLeast"/>
          <w:jc w:val="center"/>
        </w:trPr>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sz w:val="24"/>
              </w:rPr>
            </w:pPr>
            <w:r>
              <w:rPr>
                <w:rFonts w:hint="eastAsia" w:ascii="仿宋" w:hAnsi="仿宋" w:eastAsia="仿宋" w:cs="宋体"/>
                <w:b/>
                <w:bCs/>
                <w:sz w:val="24"/>
              </w:rPr>
              <w:t>项　　　　目</w:t>
            </w:r>
          </w:p>
        </w:tc>
        <w:tc>
          <w:tcPr>
            <w:tcW w:w="4043" w:type="dxa"/>
            <w:tcBorders>
              <w:top w:val="single" w:color="auto" w:sz="4" w:space="0"/>
              <w:left w:val="nil"/>
              <w:bottom w:val="nil"/>
              <w:right w:val="single" w:color="auto" w:sz="4" w:space="0"/>
            </w:tcBorders>
            <w:shd w:val="clear" w:color="auto" w:fill="auto"/>
            <w:vAlign w:val="center"/>
          </w:tcPr>
          <w:p>
            <w:pPr>
              <w:jc w:val="center"/>
              <w:rPr>
                <w:rFonts w:ascii="仿宋" w:hAnsi="仿宋" w:eastAsia="仿宋" w:cs="宋体"/>
                <w:b/>
                <w:bCs/>
                <w:sz w:val="24"/>
              </w:rPr>
            </w:pPr>
            <w:r>
              <w:rPr>
                <w:rFonts w:hint="eastAsia" w:ascii="仿宋" w:hAnsi="仿宋" w:eastAsia="仿宋" w:cs="宋体"/>
                <w:b/>
                <w:bCs/>
                <w:sz w:val="24"/>
              </w:rPr>
              <w:t>201</w:t>
            </w:r>
            <w:r>
              <w:rPr>
                <w:rFonts w:hint="eastAsia" w:ascii="仿宋" w:hAnsi="仿宋" w:eastAsia="仿宋" w:cs="宋体"/>
                <w:b/>
                <w:bCs/>
                <w:sz w:val="24"/>
                <w:lang w:val="en-US" w:eastAsia="zh-CN"/>
              </w:rPr>
              <w:t>9</w:t>
            </w:r>
            <w:r>
              <w:rPr>
                <w:rFonts w:hint="eastAsia" w:ascii="仿宋" w:hAnsi="仿宋" w:eastAsia="仿宋" w:cs="宋体"/>
                <w:b/>
                <w:bCs/>
                <w:sz w:val="24"/>
              </w:rPr>
              <w:t>年预算</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一、税收收入</w:t>
            </w:r>
          </w:p>
        </w:tc>
        <w:tc>
          <w:tcPr>
            <w:tcW w:w="4043" w:type="dxa"/>
            <w:tcBorders>
              <w:top w:val="single" w:color="auto" w:sz="4" w:space="0"/>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158220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增值税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49000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营业税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企业所得税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14000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个人所得税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11000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资源税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100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ind w:firstLine="480" w:firstLineChars="200"/>
              <w:rPr>
                <w:rFonts w:ascii="仿宋" w:hAnsi="仿宋" w:eastAsia="仿宋" w:cs="宋体"/>
                <w:sz w:val="24"/>
              </w:rPr>
            </w:pPr>
            <w:r>
              <w:rPr>
                <w:rFonts w:hint="eastAsia" w:ascii="仿宋" w:hAnsi="仿宋" w:eastAsia="仿宋" w:cs="宋体"/>
                <w:sz w:val="24"/>
              </w:rPr>
              <w:t>城市建设维护税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12000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房产税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9000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印花税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2500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城镇土地使用税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6000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土地增值税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28500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车船税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7320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耕地占用税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730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ind w:firstLine="480" w:firstLineChars="200"/>
              <w:rPr>
                <w:rFonts w:ascii="仿宋" w:hAnsi="仿宋" w:eastAsia="仿宋" w:cs="宋体"/>
                <w:sz w:val="24"/>
              </w:rPr>
            </w:pPr>
            <w:r>
              <w:rPr>
                <w:rFonts w:hint="eastAsia" w:ascii="仿宋" w:hAnsi="仿宋" w:eastAsia="仿宋" w:cs="宋体"/>
                <w:sz w:val="24"/>
              </w:rPr>
              <w:t>契税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18000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xml:space="preserve">    环保税</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70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二、非税收入</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9780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专项收入</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5400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行政事业性收费收入</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2570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罚没收入</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970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pacing w:val="-4"/>
                <w:sz w:val="24"/>
              </w:rPr>
            </w:pPr>
            <w:r>
              <w:rPr>
                <w:rFonts w:hint="eastAsia" w:ascii="仿宋" w:hAnsi="仿宋" w:eastAsia="仿宋" w:cs="宋体"/>
                <w:sz w:val="24"/>
              </w:rPr>
              <w:t>　　</w:t>
            </w:r>
            <w:r>
              <w:rPr>
                <w:rFonts w:hint="eastAsia" w:ascii="仿宋" w:hAnsi="仿宋" w:eastAsia="仿宋" w:cs="宋体"/>
                <w:spacing w:val="-4"/>
                <w:sz w:val="24"/>
              </w:rPr>
              <w:t>国有资源(资产)有偿使用收入</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700</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　　其他收入</w:t>
            </w:r>
          </w:p>
        </w:tc>
        <w:tc>
          <w:tcPr>
            <w:tcW w:w="4043"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4"/>
              </w:rPr>
            </w:pPr>
            <w:r>
              <w:rPr>
                <w:rFonts w:hint="eastAsia" w:ascii="仿宋" w:hAnsi="仿宋" w:eastAsia="仿宋" w:cs="宋体"/>
                <w:sz w:val="24"/>
              </w:rPr>
              <w:t>140　</w:t>
            </w:r>
          </w:p>
        </w:tc>
      </w:tr>
      <w:tr>
        <w:tblPrEx>
          <w:tblLayout w:type="fixed"/>
          <w:tblCellMar>
            <w:top w:w="0" w:type="dxa"/>
            <w:left w:w="108" w:type="dxa"/>
            <w:bottom w:w="0" w:type="dxa"/>
            <w:right w:w="108" w:type="dxa"/>
          </w:tblCellMar>
        </w:tblPrEx>
        <w:trPr>
          <w:trHeight w:val="285" w:hRule="atLeast"/>
          <w:jc w:val="center"/>
        </w:trPr>
        <w:tc>
          <w:tcPr>
            <w:tcW w:w="3600" w:type="dxa"/>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宋体"/>
                <w:sz w:val="24"/>
              </w:rPr>
            </w:pPr>
            <w:r>
              <w:rPr>
                <w:rFonts w:hint="eastAsia" w:ascii="仿宋" w:hAnsi="仿宋" w:eastAsia="仿宋" w:cs="宋体"/>
                <w:sz w:val="24"/>
              </w:rPr>
              <w:t>本年收入合计</w:t>
            </w:r>
          </w:p>
        </w:tc>
        <w:tc>
          <w:tcPr>
            <w:tcW w:w="4043" w:type="dxa"/>
            <w:tcBorders>
              <w:top w:val="nil"/>
              <w:left w:val="nil"/>
              <w:bottom w:val="single" w:color="auto" w:sz="4" w:space="0"/>
              <w:right w:val="single" w:color="auto" w:sz="4" w:space="0"/>
            </w:tcBorders>
            <w:shd w:val="clear" w:color="auto" w:fill="auto"/>
            <w:vAlign w:val="bottom"/>
          </w:tcPr>
          <w:p>
            <w:pPr>
              <w:jc w:val="right"/>
              <w:rPr>
                <w:rFonts w:ascii="仿宋" w:hAnsi="仿宋" w:eastAsia="仿宋" w:cs="宋体"/>
                <w:sz w:val="24"/>
              </w:rPr>
            </w:pPr>
            <w:r>
              <w:rPr>
                <w:rFonts w:hint="eastAsia" w:ascii="仿宋" w:hAnsi="仿宋" w:eastAsia="仿宋" w:cs="宋体"/>
                <w:sz w:val="24"/>
              </w:rPr>
              <w:t>168000　</w:t>
            </w:r>
          </w:p>
        </w:tc>
      </w:tr>
    </w:tbl>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ind w:firstLine="1104" w:firstLineChars="250"/>
        <w:rPr>
          <w:rFonts w:ascii="仿宋" w:hAnsi="仿宋" w:eastAsia="仿宋"/>
          <w:b/>
          <w:sz w:val="44"/>
          <w:szCs w:val="44"/>
        </w:rPr>
      </w:pPr>
    </w:p>
    <w:p>
      <w:pPr>
        <w:spacing w:line="580" w:lineRule="exact"/>
        <w:ind w:firstLine="1104" w:firstLineChars="250"/>
        <w:rPr>
          <w:rFonts w:ascii="仿宋" w:hAnsi="仿宋" w:eastAsia="仿宋"/>
          <w:b/>
          <w:sz w:val="44"/>
          <w:szCs w:val="44"/>
        </w:rPr>
      </w:pPr>
      <w:r>
        <w:rPr>
          <w:rFonts w:hint="eastAsia" w:ascii="仿宋" w:hAnsi="仿宋" w:eastAsia="仿宋"/>
          <w:b/>
          <w:sz w:val="44"/>
          <w:szCs w:val="44"/>
        </w:rPr>
        <w:t>§3　2019年一般公共支出预算</w:t>
      </w:r>
    </w:p>
    <w:tbl>
      <w:tblPr>
        <w:tblStyle w:val="10"/>
        <w:tblW w:w="8399" w:type="dxa"/>
        <w:jc w:val="center"/>
        <w:tblInd w:w="0" w:type="dxa"/>
        <w:tblLayout w:type="fixed"/>
        <w:tblCellMar>
          <w:top w:w="0" w:type="dxa"/>
          <w:left w:w="108" w:type="dxa"/>
          <w:bottom w:w="0" w:type="dxa"/>
          <w:right w:w="108" w:type="dxa"/>
        </w:tblCellMar>
      </w:tblPr>
      <w:tblGrid>
        <w:gridCol w:w="2500"/>
        <w:gridCol w:w="1092"/>
        <w:gridCol w:w="993"/>
        <w:gridCol w:w="1666"/>
        <w:gridCol w:w="2148"/>
      </w:tblGrid>
      <w:tr>
        <w:tblPrEx>
          <w:tblLayout w:type="fixed"/>
          <w:tblCellMar>
            <w:top w:w="0" w:type="dxa"/>
            <w:left w:w="108" w:type="dxa"/>
            <w:bottom w:w="0" w:type="dxa"/>
            <w:right w:w="108" w:type="dxa"/>
          </w:tblCellMar>
        </w:tblPrEx>
        <w:trPr>
          <w:trHeight w:val="285" w:hRule="atLeast"/>
          <w:jc w:val="center"/>
        </w:trPr>
        <w:tc>
          <w:tcPr>
            <w:tcW w:w="2500" w:type="dxa"/>
            <w:tcBorders>
              <w:top w:val="nil"/>
              <w:left w:val="nil"/>
              <w:bottom w:val="nil"/>
              <w:right w:val="nil"/>
            </w:tcBorders>
            <w:shd w:val="clear" w:color="auto" w:fill="auto"/>
            <w:vAlign w:val="bottom"/>
          </w:tcPr>
          <w:p>
            <w:pPr>
              <w:rPr>
                <w:rFonts w:ascii="仿宋" w:hAnsi="仿宋" w:eastAsia="仿宋" w:cs="宋体"/>
                <w:sz w:val="24"/>
              </w:rPr>
            </w:pPr>
          </w:p>
        </w:tc>
        <w:tc>
          <w:tcPr>
            <w:tcW w:w="1092" w:type="dxa"/>
            <w:tcBorders>
              <w:top w:val="nil"/>
              <w:left w:val="nil"/>
              <w:bottom w:val="nil"/>
              <w:right w:val="nil"/>
            </w:tcBorders>
            <w:shd w:val="clear" w:color="auto" w:fill="auto"/>
            <w:vAlign w:val="bottom"/>
          </w:tcPr>
          <w:p>
            <w:pPr>
              <w:rPr>
                <w:rFonts w:ascii="仿宋" w:hAnsi="仿宋" w:eastAsia="仿宋" w:cs="宋体"/>
                <w:sz w:val="24"/>
              </w:rPr>
            </w:pPr>
          </w:p>
        </w:tc>
        <w:tc>
          <w:tcPr>
            <w:tcW w:w="993" w:type="dxa"/>
            <w:tcBorders>
              <w:top w:val="nil"/>
              <w:left w:val="nil"/>
              <w:bottom w:val="nil"/>
              <w:right w:val="nil"/>
            </w:tcBorders>
            <w:shd w:val="clear" w:color="auto" w:fill="auto"/>
            <w:vAlign w:val="bottom"/>
          </w:tcPr>
          <w:p>
            <w:pPr>
              <w:rPr>
                <w:rFonts w:ascii="仿宋" w:hAnsi="仿宋" w:eastAsia="仿宋" w:cs="宋体"/>
                <w:sz w:val="24"/>
              </w:rPr>
            </w:pPr>
          </w:p>
        </w:tc>
        <w:tc>
          <w:tcPr>
            <w:tcW w:w="1666" w:type="dxa"/>
            <w:tcBorders>
              <w:top w:val="nil"/>
              <w:left w:val="nil"/>
              <w:bottom w:val="nil"/>
              <w:right w:val="nil"/>
            </w:tcBorders>
            <w:shd w:val="clear" w:color="auto" w:fill="auto"/>
            <w:vAlign w:val="bottom"/>
          </w:tcPr>
          <w:p>
            <w:pPr>
              <w:jc w:val="right"/>
              <w:rPr>
                <w:rFonts w:ascii="仿宋" w:hAnsi="仿宋" w:eastAsia="仿宋" w:cs="宋体"/>
                <w:b/>
                <w:sz w:val="24"/>
              </w:rPr>
            </w:pPr>
            <w:r>
              <w:rPr>
                <w:rFonts w:hint="eastAsia" w:ascii="仿宋" w:hAnsi="仿宋" w:eastAsia="仿宋" w:cs="宋体"/>
                <w:b/>
                <w:sz w:val="24"/>
              </w:rPr>
              <w:t>单位：万元</w:t>
            </w:r>
          </w:p>
        </w:tc>
        <w:tc>
          <w:tcPr>
            <w:tcW w:w="2148" w:type="dxa"/>
            <w:tcBorders>
              <w:top w:val="nil"/>
              <w:left w:val="nil"/>
              <w:bottom w:val="nil"/>
              <w:right w:val="nil"/>
            </w:tcBorders>
          </w:tcPr>
          <w:p>
            <w:pPr>
              <w:jc w:val="right"/>
              <w:rPr>
                <w:rFonts w:ascii="仿宋" w:hAnsi="仿宋" w:eastAsia="仿宋" w:cs="宋体"/>
                <w:b/>
                <w:sz w:val="24"/>
              </w:rPr>
            </w:pPr>
          </w:p>
        </w:tc>
      </w:tr>
      <w:tr>
        <w:tblPrEx>
          <w:tblLayout w:type="fixed"/>
          <w:tblCellMar>
            <w:top w:w="0" w:type="dxa"/>
            <w:left w:w="108" w:type="dxa"/>
            <w:bottom w:w="0" w:type="dxa"/>
            <w:right w:w="108" w:type="dxa"/>
          </w:tblCellMar>
        </w:tblPrEx>
        <w:trPr>
          <w:trHeight w:val="319" w:hRule="atLeast"/>
          <w:jc w:val="center"/>
        </w:trPr>
        <w:tc>
          <w:tcPr>
            <w:tcW w:w="2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科目编码及名称</w:t>
            </w:r>
          </w:p>
        </w:tc>
        <w:tc>
          <w:tcPr>
            <w:tcW w:w="589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2019年预算</w:t>
            </w:r>
          </w:p>
        </w:tc>
      </w:tr>
      <w:tr>
        <w:tblPrEx>
          <w:tblLayout w:type="fixed"/>
          <w:tblCellMar>
            <w:top w:w="0" w:type="dxa"/>
            <w:left w:w="108" w:type="dxa"/>
            <w:bottom w:w="0" w:type="dxa"/>
            <w:right w:w="108" w:type="dxa"/>
          </w:tblCellMar>
        </w:tblPrEx>
        <w:trPr>
          <w:trHeight w:val="319" w:hRule="atLeast"/>
          <w:jc w:val="center"/>
        </w:trPr>
        <w:tc>
          <w:tcPr>
            <w:tcW w:w="250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4"/>
              </w:rPr>
            </w:pP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合  计</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本级部门支出</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上级转移支付</w:t>
            </w: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上年结转</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201　一般公共服务</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20263</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20240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23</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203　国防</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107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107</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204　公共安全</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12376</w:t>
            </w:r>
          </w:p>
        </w:tc>
        <w:tc>
          <w:tcPr>
            <w:tcW w:w="993" w:type="dxa"/>
            <w:tcBorders>
              <w:top w:val="nil"/>
              <w:left w:val="nil"/>
              <w:bottom w:val="single" w:color="auto" w:sz="4" w:space="0"/>
              <w:right w:val="single" w:color="auto" w:sz="4" w:space="0"/>
            </w:tcBorders>
            <w:shd w:val="clear" w:color="auto" w:fill="auto"/>
            <w:vAlign w:val="center"/>
          </w:tcPr>
          <w:p>
            <w:pPr>
              <w:ind w:firstLine="120" w:firstLineChars="50"/>
              <w:rPr>
                <w:rFonts w:ascii="仿宋" w:hAnsi="仿宋" w:eastAsia="仿宋" w:cs="宋体"/>
                <w:sz w:val="24"/>
              </w:rPr>
            </w:pPr>
            <w:r>
              <w:rPr>
                <w:rFonts w:hint="eastAsia" w:ascii="仿宋" w:hAnsi="仿宋" w:eastAsia="仿宋" w:cs="宋体"/>
                <w:sz w:val="24"/>
              </w:rPr>
              <w:t>11653</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723</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205　教育</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37174</w:t>
            </w:r>
          </w:p>
        </w:tc>
        <w:tc>
          <w:tcPr>
            <w:tcW w:w="993" w:type="dxa"/>
            <w:tcBorders>
              <w:top w:val="nil"/>
              <w:left w:val="nil"/>
              <w:bottom w:val="single" w:color="auto" w:sz="4" w:space="0"/>
              <w:right w:val="single" w:color="auto" w:sz="4" w:space="0"/>
            </w:tcBorders>
            <w:shd w:val="clear" w:color="auto" w:fill="auto"/>
            <w:vAlign w:val="center"/>
          </w:tcPr>
          <w:p>
            <w:pPr>
              <w:ind w:firstLine="120" w:firstLineChars="50"/>
              <w:rPr>
                <w:rFonts w:ascii="仿宋" w:hAnsi="仿宋" w:eastAsia="仿宋" w:cs="宋体"/>
                <w:sz w:val="24"/>
              </w:rPr>
            </w:pPr>
            <w:r>
              <w:rPr>
                <w:rFonts w:hint="eastAsia" w:ascii="仿宋" w:hAnsi="仿宋" w:eastAsia="仿宋" w:cs="宋体"/>
                <w:sz w:val="24"/>
              </w:rPr>
              <w:t>36175</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999</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206　科学技术</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264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154</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110</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207　文化体育与传媒</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3858</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838</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3020</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208　社会保障和就业</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48631</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46554</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1285</w:t>
            </w: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792</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210　医疗卫生</w:t>
            </w:r>
          </w:p>
        </w:tc>
        <w:tc>
          <w:tcPr>
            <w:tcW w:w="1092" w:type="dxa"/>
            <w:tcBorders>
              <w:top w:val="nil"/>
              <w:left w:val="nil"/>
              <w:bottom w:val="single" w:color="auto" w:sz="4" w:space="0"/>
              <w:right w:val="single" w:color="auto" w:sz="4" w:space="0"/>
            </w:tcBorders>
            <w:shd w:val="clear" w:color="auto" w:fill="auto"/>
            <w:vAlign w:val="center"/>
          </w:tcPr>
          <w:p>
            <w:pPr>
              <w:ind w:firstLine="120" w:firstLineChars="50"/>
              <w:rPr>
                <w:rFonts w:ascii="仿宋" w:hAnsi="仿宋" w:eastAsia="仿宋" w:cs="宋体"/>
                <w:sz w:val="24"/>
              </w:rPr>
            </w:pPr>
            <w:r>
              <w:rPr>
                <w:rFonts w:hint="eastAsia" w:ascii="仿宋" w:hAnsi="仿宋" w:eastAsia="仿宋" w:cs="宋体"/>
                <w:sz w:val="24"/>
              </w:rPr>
              <w:t>10067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7760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1684</w:t>
            </w: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623</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211　节能环保</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5382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1053</w:t>
            </w:r>
          </w:p>
        </w:tc>
        <w:tc>
          <w:tcPr>
            <w:tcW w:w="1666" w:type="dxa"/>
            <w:tcBorders>
              <w:top w:val="nil"/>
              <w:left w:val="nil"/>
              <w:bottom w:val="single" w:color="auto" w:sz="4" w:space="0"/>
              <w:right w:val="single" w:color="auto" w:sz="4" w:space="0"/>
            </w:tcBorders>
            <w:shd w:val="clear" w:color="auto" w:fill="auto"/>
            <w:vAlign w:val="center"/>
          </w:tcPr>
          <w:p>
            <w:pPr>
              <w:ind w:firstLine="600" w:firstLineChars="250"/>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4329</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212　城乡社区事务</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31386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26291</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5095</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213　农林水事务</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8176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3664</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368</w:t>
            </w: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4144</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214  交通运输</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542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157</w:t>
            </w:r>
          </w:p>
        </w:tc>
        <w:tc>
          <w:tcPr>
            <w:tcW w:w="1666" w:type="dxa"/>
            <w:tcBorders>
              <w:top w:val="nil"/>
              <w:left w:val="nil"/>
              <w:bottom w:val="single" w:color="auto" w:sz="4" w:space="0"/>
              <w:right w:val="single" w:color="auto" w:sz="4" w:space="0"/>
            </w:tcBorders>
            <w:shd w:val="clear" w:color="auto" w:fill="auto"/>
            <w:vAlign w:val="center"/>
          </w:tcPr>
          <w:p>
            <w:pP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385</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215　资源勘探信息等事务</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562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562</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216  旅游</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371</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371</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 xml:space="preserve">220  </w:t>
            </w:r>
            <w:r>
              <w:rPr>
                <w:rFonts w:hint="eastAsia" w:ascii="仿宋" w:hAnsi="仿宋" w:eastAsia="仿宋" w:cs="宋体"/>
                <w:bCs/>
                <w:sz w:val="24"/>
              </w:rPr>
              <w:t>自然资源海洋气象等</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1059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1056</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3</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221  住房保障支出</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13769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700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6450</w:t>
            </w: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6619</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222  粮油物资储备事务</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82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82</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224灾害防治及应急管理支出类</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280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280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227  预备费</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2000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2000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229  其他支出</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12900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12800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100</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230  转移性支出</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669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669</w:t>
            </w: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231  债务还本支出</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63330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63330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232债务付息支出</w:t>
            </w:r>
          </w:p>
        </w:tc>
        <w:tc>
          <w:tcPr>
            <w:tcW w:w="1092" w:type="dxa"/>
            <w:tcBorders>
              <w:top w:val="nil"/>
              <w:left w:val="nil"/>
              <w:bottom w:val="single" w:color="auto" w:sz="4" w:space="0"/>
              <w:right w:val="single" w:color="auto" w:sz="4" w:space="0"/>
            </w:tcBorders>
            <w:shd w:val="clear" w:color="auto" w:fill="auto"/>
            <w:vAlign w:val="center"/>
          </w:tcPr>
          <w:p>
            <w:pPr>
              <w:ind w:firstLine="120" w:firstLineChars="50"/>
              <w:rPr>
                <w:rFonts w:ascii="仿宋" w:hAnsi="仿宋" w:eastAsia="仿宋" w:cs="宋体"/>
                <w:sz w:val="24"/>
              </w:rPr>
            </w:pPr>
            <w:r>
              <w:rPr>
                <w:rFonts w:hint="eastAsia" w:ascii="仿宋" w:hAnsi="仿宋" w:eastAsia="仿宋" w:cs="宋体"/>
                <w:sz w:val="24"/>
              </w:rPr>
              <w:t>107544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107544</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p>
        </w:tc>
      </w:tr>
      <w:tr>
        <w:tblPrEx>
          <w:tblLayout w:type="fixed"/>
          <w:tblCellMar>
            <w:top w:w="0" w:type="dxa"/>
            <w:left w:w="108" w:type="dxa"/>
            <w:bottom w:w="0" w:type="dxa"/>
            <w:right w:w="108" w:type="dxa"/>
          </w:tblCellMar>
        </w:tblPrEx>
        <w:trPr>
          <w:trHeight w:val="319" w:hRule="atLeast"/>
          <w:jc w:val="center"/>
        </w:trPr>
        <w:tc>
          <w:tcPr>
            <w:tcW w:w="2500"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cs="宋体"/>
                <w:sz w:val="24"/>
              </w:rPr>
              <w:t>一般公共支出预算合计</w:t>
            </w:r>
          </w:p>
        </w:tc>
        <w:tc>
          <w:tcPr>
            <w:tcW w:w="109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380792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343000</w:t>
            </w:r>
          </w:p>
        </w:tc>
        <w:tc>
          <w:tcPr>
            <w:tcW w:w="166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9787</w:t>
            </w:r>
          </w:p>
        </w:tc>
        <w:tc>
          <w:tcPr>
            <w:tcW w:w="2148" w:type="dxa"/>
            <w:tcBorders>
              <w:top w:val="nil"/>
              <w:left w:val="nil"/>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28005</w:t>
            </w:r>
          </w:p>
        </w:tc>
      </w:tr>
    </w:tbl>
    <w:p>
      <w:pPr>
        <w:spacing w:line="580" w:lineRule="exact"/>
        <w:ind w:right="45"/>
        <w:rPr>
          <w:rFonts w:ascii="仿宋" w:hAnsi="仿宋" w:eastAsia="仿宋"/>
          <w:b/>
          <w:sz w:val="28"/>
          <w:szCs w:val="28"/>
        </w:rPr>
      </w:pPr>
    </w:p>
    <w:p>
      <w:pPr>
        <w:spacing w:line="580" w:lineRule="exact"/>
        <w:ind w:right="45"/>
        <w:jc w:val="center"/>
        <w:rPr>
          <w:rFonts w:ascii="仿宋" w:hAnsi="仿宋" w:eastAsia="仿宋"/>
          <w:b/>
          <w:sz w:val="28"/>
          <w:szCs w:val="28"/>
        </w:rPr>
      </w:pPr>
    </w:p>
    <w:p>
      <w:pPr>
        <w:spacing w:line="580" w:lineRule="exact"/>
        <w:ind w:right="45"/>
        <w:jc w:val="center"/>
        <w:rPr>
          <w:rFonts w:ascii="仿宋" w:hAnsi="仿宋" w:eastAsia="仿宋"/>
          <w:b/>
          <w:sz w:val="28"/>
          <w:szCs w:val="28"/>
        </w:rPr>
      </w:pPr>
      <w:r>
        <w:rPr>
          <w:rFonts w:hint="eastAsia" w:ascii="仿宋" w:hAnsi="仿宋" w:eastAsia="仿宋"/>
          <w:b/>
          <w:sz w:val="28"/>
          <w:szCs w:val="28"/>
        </w:rPr>
        <w:t>2019年区级一般公共预算支出功能分类表</w:t>
      </w:r>
    </w:p>
    <w:tbl>
      <w:tblPr>
        <w:tblStyle w:val="10"/>
        <w:tblW w:w="8127"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43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25" w:type="dxa"/>
            <w:shd w:val="clear" w:color="auto" w:fill="auto"/>
            <w:vAlign w:val="bottom"/>
          </w:tcPr>
          <w:p>
            <w:pPr>
              <w:jc w:val="center"/>
              <w:rPr>
                <w:rFonts w:ascii="仿宋" w:hAnsi="仿宋" w:eastAsia="仿宋" w:cs="宋体"/>
                <w:sz w:val="24"/>
              </w:rPr>
            </w:pPr>
          </w:p>
        </w:tc>
        <w:tc>
          <w:tcPr>
            <w:tcW w:w="4430" w:type="dxa"/>
            <w:shd w:val="clear" w:color="auto" w:fill="auto"/>
            <w:vAlign w:val="bottom"/>
          </w:tcPr>
          <w:p>
            <w:pPr>
              <w:jc w:val="center"/>
              <w:rPr>
                <w:rFonts w:ascii="仿宋" w:hAnsi="仿宋" w:eastAsia="仿宋" w:cs="宋体"/>
                <w:sz w:val="24"/>
              </w:rPr>
            </w:pPr>
          </w:p>
        </w:tc>
        <w:tc>
          <w:tcPr>
            <w:tcW w:w="2172" w:type="dxa"/>
            <w:shd w:val="clear" w:color="auto" w:fill="auto"/>
            <w:vAlign w:val="bottom"/>
          </w:tcPr>
          <w:p>
            <w:pPr>
              <w:jc w:val="right"/>
              <w:rPr>
                <w:rFonts w:ascii="仿宋" w:hAnsi="仿宋" w:eastAsia="仿宋" w:cs="宋体"/>
                <w:sz w:val="24"/>
              </w:rPr>
            </w:pPr>
            <w:r>
              <w:rPr>
                <w:rFonts w:hint="eastAsia" w:ascii="仿宋" w:hAnsi="仿宋" w:eastAsia="仿宋" w:cs="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科目编码</w:t>
            </w:r>
          </w:p>
        </w:tc>
        <w:tc>
          <w:tcPr>
            <w:tcW w:w="4430"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科目名称</w:t>
            </w:r>
          </w:p>
        </w:tc>
        <w:tc>
          <w:tcPr>
            <w:tcW w:w="2172"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　</w:t>
            </w:r>
          </w:p>
        </w:tc>
        <w:tc>
          <w:tcPr>
            <w:tcW w:w="4430" w:type="dxa"/>
            <w:shd w:val="clear" w:color="auto" w:fill="auto"/>
            <w:vAlign w:val="center"/>
          </w:tcPr>
          <w:p>
            <w:pPr>
              <w:jc w:val="center"/>
              <w:rPr>
                <w:rFonts w:ascii="仿宋" w:hAnsi="仿宋" w:eastAsia="仿宋" w:cs="宋体"/>
                <w:b/>
                <w:bCs/>
                <w:sz w:val="24"/>
              </w:rPr>
            </w:pPr>
            <w:r>
              <w:rPr>
                <w:rFonts w:hint="eastAsia" w:ascii="仿宋" w:hAnsi="仿宋" w:eastAsia="仿宋" w:cs="宋体"/>
                <w:b/>
                <w:bCs/>
                <w:sz w:val="24"/>
              </w:rPr>
              <w:t>合计</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一般公共服务支出类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人大事务款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2010104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人大会议项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2010107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人大代表履职能力提升项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政协事务款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wordWrap w:val="0"/>
              <w:jc w:val="right"/>
              <w:rPr>
                <w:rFonts w:ascii="仿宋" w:hAnsi="仿宋" w:eastAsia="仿宋" w:cs="宋体"/>
                <w:sz w:val="24"/>
              </w:rPr>
            </w:pPr>
            <w:r>
              <w:rPr>
                <w:rFonts w:hint="eastAsia" w:ascii="仿宋" w:hAnsi="仿宋" w:eastAsia="仿宋"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2010202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wordWrap w:val="0"/>
              <w:jc w:val="right"/>
              <w:rPr>
                <w:rFonts w:ascii="仿宋" w:hAnsi="仿宋" w:eastAsia="仿宋" w:cs="宋体"/>
                <w:sz w:val="24"/>
              </w:rPr>
            </w:pPr>
            <w:r>
              <w:rPr>
                <w:rFonts w:hint="eastAsia" w:ascii="仿宋" w:hAnsi="仿宋" w:eastAsia="仿宋"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2010204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政协会议项</w:t>
            </w:r>
          </w:p>
        </w:tc>
        <w:tc>
          <w:tcPr>
            <w:tcW w:w="2172" w:type="dxa"/>
            <w:shd w:val="clear" w:color="auto" w:fill="auto"/>
            <w:vAlign w:val="center"/>
          </w:tcPr>
          <w:p>
            <w:pPr>
              <w:wordWrap w:val="0"/>
              <w:jc w:val="right"/>
              <w:rPr>
                <w:rFonts w:ascii="仿宋" w:hAnsi="仿宋" w:eastAsia="仿宋" w:cs="宋体"/>
                <w:sz w:val="24"/>
              </w:rPr>
            </w:pPr>
            <w:r>
              <w:rPr>
                <w:rFonts w:hint="eastAsia" w:ascii="仿宋" w:hAnsi="仿宋" w:eastAsia="仿宋" w:cs="宋体"/>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政府办公厅（室）及相关机构事务款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2010301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2010302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2010306</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政务公开审批项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2010308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信访事务项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20104</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发展与改革事务款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2010401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2010499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其他发展与改革事务支出项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统计信息事务款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2010501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2010504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信息事务项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2010507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专项普查活动</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2010508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统计抽样调查项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20106</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财政事务款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2010601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2010602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2010604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预算改革业务项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2010607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信息化建设项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2010608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财政委托业务支出项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2010699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其他财政事务支出项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20107</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税收事务款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2010702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20108</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审计事务款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2010801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2010804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审计业务项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20110</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人力资源事务款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2011001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2011102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20111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纪检监察事务款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2011199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其他纪检监察事务支出项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20113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商贸事务款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2011301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2011308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招商引资项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20115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工商行政管理事务款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2011501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2011502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2011504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工商管理专项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20123</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民族事务款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2012302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20126</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档案事务款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2012601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2012602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其他档案事务支出项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20129</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群众团体事务款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2012901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2012902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2012999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其他群众团体事务支出项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20131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党委办公厅（室）及相关机构事务款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2013105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专项业务项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20132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组织事务款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2013202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2013299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其他组织事务支出</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20133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宣传事务款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2013301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2013302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20134</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统战事务款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2013401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2013450</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事业运行项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20136</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其他共产党事务支出款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2013601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2013602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20138</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市场监督管理事务款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2013801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2013804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市场监督管理专项项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2013805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市场监管执法项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国防支出类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20399</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其他国防支出款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2039901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其他国防支出项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204</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公共安全支出类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11653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20402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公安款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2040202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2040220</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执法办案项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20404</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检察款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2040401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2040402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20405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法院款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2040501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20406</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司法款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2040601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2040605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普法宣传项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2040607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法律援助项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教育支出类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20501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教育管理事务款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2050101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20502</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普通教育款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2050201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学前教育项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2050202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小学教育项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2050203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初中教育项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2050204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高中教育项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2050299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其他普通教育支出项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20508</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进修及培训款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2050802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干部教育项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206</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科学技术支出类</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20604</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技术研究与开发款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2060404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科技成果转化与扩散项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20607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科学技术普及款</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2060702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科普活动项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20699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其他科学技术支出款</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2069901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科技奖励项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207</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文化体育与传媒支出类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20701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文化款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2070101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2070113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旅游宣传项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20702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文物款</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2070201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社会保障和就业支出类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46554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人力资源和社会保障管理事务款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2080102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2080107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社会保险业务管理事项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2080108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信息化建设项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20802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民政管理事务款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2080208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基层政权和社区建设项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2080299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其他民政管理事务支出项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20805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行政事业单位离退休款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18510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2080501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归口管理的行政单位离退休项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2080503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离退休人员管理机构项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2080505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机关事业单位基本养老保险缴费支出项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2080507</w:t>
            </w:r>
          </w:p>
        </w:tc>
        <w:tc>
          <w:tcPr>
            <w:tcW w:w="4430" w:type="dxa"/>
            <w:shd w:val="clear" w:color="auto" w:fill="auto"/>
            <w:vAlign w:val="center"/>
          </w:tcPr>
          <w:p>
            <w:pPr>
              <w:rPr>
                <w:rFonts w:ascii="仿宋" w:hAnsi="仿宋" w:eastAsia="仿宋" w:cs="宋体"/>
                <w:sz w:val="24"/>
              </w:rPr>
            </w:pPr>
            <w:r>
              <w:rPr>
                <w:rFonts w:hint="eastAsia" w:ascii="仿宋" w:hAnsi="仿宋" w:eastAsia="仿宋"/>
                <w:sz w:val="24"/>
              </w:rPr>
              <w:t>对机关事业单位基本养老保险基金的补助项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20807</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就业补助款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2080799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其他就业补助支出项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20808</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抚恤款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2080801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死亡抚恤项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2080803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在乡复员、退伍军人生活补助</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2080805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义务兵优待项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20809</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退役安置款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2080901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退役士兵安置项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2080902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军队移交政府的离退休人员安置</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20810</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社会福利款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2081001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儿童福利项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2081002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老年福利项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2081004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殡葬项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20811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残疾人事业款</w:t>
            </w:r>
          </w:p>
        </w:tc>
        <w:tc>
          <w:tcPr>
            <w:tcW w:w="2172" w:type="dxa"/>
            <w:shd w:val="clear" w:color="auto" w:fill="auto"/>
            <w:vAlign w:val="center"/>
          </w:tcPr>
          <w:p>
            <w:pPr>
              <w:ind w:right="120"/>
              <w:jc w:val="right"/>
              <w:rPr>
                <w:rFonts w:ascii="仿宋" w:hAnsi="仿宋" w:eastAsia="仿宋" w:cs="宋体"/>
                <w:b/>
                <w:bCs/>
                <w:sz w:val="24"/>
              </w:rPr>
            </w:pPr>
            <w:r>
              <w:rPr>
                <w:rFonts w:hint="eastAsia" w:ascii="仿宋" w:hAnsi="仿宋" w:eastAsia="仿宋" w:cs="宋体"/>
                <w:b/>
                <w:bCs/>
                <w:sz w:val="24"/>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2081104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残疾人康复项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2081105</w:t>
            </w:r>
          </w:p>
        </w:tc>
        <w:tc>
          <w:tcPr>
            <w:tcW w:w="4430" w:type="dxa"/>
            <w:shd w:val="clear" w:color="auto" w:fill="auto"/>
            <w:vAlign w:val="center"/>
          </w:tcPr>
          <w:p>
            <w:pPr>
              <w:rPr>
                <w:rFonts w:ascii="仿宋" w:hAnsi="仿宋" w:eastAsia="仿宋" w:cs="宋体"/>
                <w:sz w:val="24"/>
              </w:rPr>
            </w:pPr>
            <w:r>
              <w:rPr>
                <w:rFonts w:hint="eastAsia" w:ascii="仿宋" w:hAnsi="仿宋" w:eastAsia="仿宋"/>
                <w:sz w:val="24"/>
              </w:rPr>
              <w:t>残疾人就业和扶贫</w:t>
            </w:r>
            <w:r>
              <w:rPr>
                <w:rFonts w:hint="eastAsia" w:ascii="仿宋" w:hAnsi="仿宋" w:eastAsia="仿宋" w:cs="宋体"/>
                <w:sz w:val="24"/>
              </w:rPr>
              <w:t>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2081106</w:t>
            </w:r>
          </w:p>
        </w:tc>
        <w:tc>
          <w:tcPr>
            <w:tcW w:w="4430" w:type="dxa"/>
            <w:shd w:val="clear" w:color="auto" w:fill="auto"/>
            <w:vAlign w:val="center"/>
          </w:tcPr>
          <w:p>
            <w:pPr>
              <w:rPr>
                <w:rFonts w:ascii="仿宋" w:hAnsi="仿宋" w:eastAsia="仿宋" w:cs="宋体"/>
                <w:sz w:val="24"/>
              </w:rPr>
            </w:pPr>
            <w:r>
              <w:rPr>
                <w:rFonts w:hint="eastAsia" w:ascii="仿宋" w:hAnsi="仿宋" w:eastAsia="仿宋"/>
                <w:sz w:val="24"/>
              </w:rPr>
              <w:t>残疾人体育项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2081107</w:t>
            </w:r>
          </w:p>
        </w:tc>
        <w:tc>
          <w:tcPr>
            <w:tcW w:w="4430" w:type="dxa"/>
            <w:shd w:val="clear" w:color="auto" w:fill="auto"/>
            <w:vAlign w:val="center"/>
          </w:tcPr>
          <w:p>
            <w:pPr>
              <w:rPr>
                <w:rFonts w:ascii="仿宋" w:hAnsi="仿宋" w:eastAsia="仿宋"/>
                <w:sz w:val="24"/>
              </w:rPr>
            </w:pPr>
            <w:r>
              <w:rPr>
                <w:rFonts w:hint="eastAsia" w:ascii="仿宋" w:hAnsi="仿宋" w:eastAsia="仿宋"/>
                <w:sz w:val="24"/>
              </w:rPr>
              <w:t>残疾人生活和护理补贴项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2081199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其他残疾人事业支出项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20819</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最低生活保障款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2081901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城市最低生活保障金支出项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20820</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临时救助款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2082001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临时救助支出项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20821</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特困人员救助供养款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2082102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农村特困人员救助供养支出项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20826</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财政对基本养老保险基金的补助款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2082601</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财政对企业职工基本养老保险基金的补助项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7378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2082602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财政对城乡居民基本养老保险基金的补助项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2082699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财政对其他基本养老保险基金的补助项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20827</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财政对其他社会保险基金的补助款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2082702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财政对工伤保险基金的补助项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2082703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财政对生育保险基金的补助项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2082799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其他财政对社会保险基金的补助项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20828</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退役军人管理事务款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2082804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拥军优属项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2082805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事业运行项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2082899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其他退役军人事务管理支出项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210</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卫生健康支出类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21001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卫生健康管理事务款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 xml:space="preserve">466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2100103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机关服务项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21002</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公立医院款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综合医院项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21003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基层医疗卫生机构款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2100399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其他基层医疗卫生机构项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21004</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公共卫生款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2100401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疾病预防控制机构项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2100402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卫生监督机构项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2100403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妇幼保机构项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2100408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基本公共卫生服务项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2100409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重大公共卫生专项项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2100499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其他公共卫生支出项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21007</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计划生育事务款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2100717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计划生育服务项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2100799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其他计划生育事务支出项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21011</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行政事业单位医疗款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2101101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行政单位医疗项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2101102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事业单位医疗项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2101103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公务员医疗补助项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2101199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其他行政事业单位医疗支出项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21012</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财政对基本医疗保险基金的补助类</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2101201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财政对职工基本医疗保险基金的补助</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2101202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财政对城乡居民基本医疗保险基金的补助</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21014</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优抚对象医疗款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2101401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城优抚对象医疗补助项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节能环保支出类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21101</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环境保护管理事务款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2111101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2111102</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一般行政管理事务项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21102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环境监测与监察款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2110299</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其他环境监测与监察支出项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21103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污染防治款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2110301</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大气项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2110399</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其他污染防治支出</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城乡社区支出类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26291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21201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城乡社区管理事务款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2120101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2120102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一般行政事务管理项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2120104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城管执法项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21202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城乡社区规划与管理款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2120201</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城乡社区规划与管理项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21203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城乡社区公共设施款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2120303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小城镇基础设施建设项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2120399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其他城乡社区公共设施支出项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21205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城乡社区环境卫生款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2120501</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城乡社区环境卫生项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10051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农林水支出类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21301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农业款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2130104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事业运行项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2130152</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对高校毕业生到基层任职补助项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21302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林业款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2130205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森林培育项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2130207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森林资源管理项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21303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水利款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2130301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2130305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水利工程建设项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2130308</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水利前期工作项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21305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扶贫款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2130599</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其他扶贫支出项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21306</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农业综合开发款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2130603</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产业化发展项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21307</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农村综合改革款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2130705</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对村民委员会和村党支部的补助项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21308</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普惠金融发展支出款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2130803</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农业保险保费补贴项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21399</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其他农林水支出款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2139999</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其他农林水支出项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214</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交通运输支出</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21401</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公路水路运输类</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2140104</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公路建设项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2140106</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公路养护项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资源勘探信息等支出类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21501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资源勘探开发款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2150102</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一般行政管理事务项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21505</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工业和信息产业监管款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2150501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2150507</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专用通信项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220</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自然资源海洋气象等支出类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22001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自然资源事务款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2200101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行政运行项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2200102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住房保障支出类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22101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保障性安居工程支出款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2210103</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棚户区改造项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粮油物资储备支出类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22204</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粮油储备款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 xml:space="preserve">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2220401</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储备粮油补贴支出项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 xml:space="preserve">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224</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灾害防治及应急管理支出类</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22401</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应急管理事务款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2240106</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安全监管项</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sz w:val="24"/>
              </w:rPr>
            </w:pPr>
            <w:r>
              <w:rPr>
                <w:rFonts w:hint="eastAsia" w:ascii="仿宋" w:hAnsi="仿宋" w:eastAsia="仿宋" w:cs="宋体"/>
                <w:b/>
                <w:sz w:val="24"/>
              </w:rPr>
              <w:t>22402</w:t>
            </w:r>
          </w:p>
        </w:tc>
        <w:tc>
          <w:tcPr>
            <w:tcW w:w="4430" w:type="dxa"/>
            <w:shd w:val="clear" w:color="auto" w:fill="auto"/>
            <w:vAlign w:val="center"/>
          </w:tcPr>
          <w:p>
            <w:pPr>
              <w:rPr>
                <w:rFonts w:ascii="仿宋" w:hAnsi="仿宋" w:eastAsia="仿宋" w:cs="宋体"/>
                <w:b/>
                <w:sz w:val="24"/>
              </w:rPr>
            </w:pPr>
            <w:r>
              <w:rPr>
                <w:rFonts w:hint="eastAsia" w:ascii="仿宋" w:hAnsi="仿宋" w:eastAsia="仿宋" w:cs="宋体"/>
                <w:b/>
                <w:sz w:val="24"/>
              </w:rPr>
              <w:t>消防事务款</w:t>
            </w:r>
          </w:p>
        </w:tc>
        <w:tc>
          <w:tcPr>
            <w:tcW w:w="2172" w:type="dxa"/>
            <w:shd w:val="clear" w:color="auto" w:fill="auto"/>
            <w:vAlign w:val="center"/>
          </w:tcPr>
          <w:p>
            <w:pPr>
              <w:jc w:val="right"/>
              <w:rPr>
                <w:rFonts w:ascii="仿宋" w:hAnsi="仿宋" w:eastAsia="仿宋" w:cs="宋体"/>
                <w:b/>
                <w:sz w:val="24"/>
              </w:rPr>
            </w:pPr>
            <w:r>
              <w:rPr>
                <w:rFonts w:hint="eastAsia" w:ascii="仿宋" w:hAnsi="仿宋" w:eastAsia="仿宋" w:cs="宋体"/>
                <w:b/>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sz w:val="24"/>
              </w:rPr>
            </w:pPr>
            <w:r>
              <w:rPr>
                <w:rFonts w:hint="eastAsia" w:ascii="仿宋" w:hAnsi="仿宋" w:eastAsia="仿宋" w:cs="宋体"/>
                <w:sz w:val="24"/>
              </w:rPr>
              <w:t>2240202</w:t>
            </w:r>
          </w:p>
        </w:tc>
        <w:tc>
          <w:tcPr>
            <w:tcW w:w="4430" w:type="dxa"/>
            <w:shd w:val="clear" w:color="auto" w:fill="auto"/>
            <w:vAlign w:val="center"/>
          </w:tcPr>
          <w:p>
            <w:pPr>
              <w:rPr>
                <w:rFonts w:ascii="仿宋" w:hAnsi="仿宋" w:eastAsia="仿宋" w:cs="宋体"/>
                <w:sz w:val="24"/>
              </w:rPr>
            </w:pPr>
            <w:r>
              <w:rPr>
                <w:rFonts w:hint="eastAsia" w:ascii="仿宋" w:hAnsi="仿宋" w:eastAsia="仿宋" w:cs="宋体"/>
                <w:sz w:val="24"/>
              </w:rPr>
              <w:t>一般行政管理事务</w:t>
            </w:r>
          </w:p>
        </w:tc>
        <w:tc>
          <w:tcPr>
            <w:tcW w:w="2172" w:type="dxa"/>
            <w:shd w:val="clear" w:color="auto" w:fill="auto"/>
            <w:vAlign w:val="center"/>
          </w:tcPr>
          <w:p>
            <w:pPr>
              <w:jc w:val="right"/>
              <w:rPr>
                <w:rFonts w:ascii="仿宋" w:hAnsi="仿宋" w:eastAsia="仿宋" w:cs="宋体"/>
                <w:sz w:val="24"/>
              </w:rPr>
            </w:pPr>
            <w:r>
              <w:rPr>
                <w:rFonts w:hint="eastAsia" w:ascii="仿宋" w:hAnsi="仿宋" w:eastAsia="仿宋" w:cs="宋体"/>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227</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预备费类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229</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其他支出类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22999</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其他支出款</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2299901</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其他支出项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231</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债务还本支出类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63330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23103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地方政府一般债务还本支出款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 xml:space="preserve">63330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2310301</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地方政府一般债券还本支出项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52600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2310399</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地方政府其他一般债务还本支出项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10730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232</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债务付息支出类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107544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23203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地方政府一般债券付息支出款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107544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2320301</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地方政府一般债券付息支出项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77544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Cs/>
                <w:sz w:val="24"/>
              </w:rPr>
            </w:pPr>
            <w:r>
              <w:rPr>
                <w:rFonts w:hint="eastAsia" w:ascii="仿宋" w:hAnsi="仿宋" w:eastAsia="仿宋" w:cs="宋体"/>
                <w:bCs/>
                <w:sz w:val="24"/>
              </w:rPr>
              <w:t>2320304</w:t>
            </w:r>
          </w:p>
        </w:tc>
        <w:tc>
          <w:tcPr>
            <w:tcW w:w="4430" w:type="dxa"/>
            <w:shd w:val="clear" w:color="auto" w:fill="auto"/>
            <w:vAlign w:val="center"/>
          </w:tcPr>
          <w:p>
            <w:pPr>
              <w:rPr>
                <w:rFonts w:ascii="仿宋" w:hAnsi="仿宋" w:eastAsia="仿宋" w:cs="宋体"/>
                <w:bCs/>
                <w:sz w:val="24"/>
              </w:rPr>
            </w:pPr>
            <w:r>
              <w:rPr>
                <w:rFonts w:hint="eastAsia" w:ascii="仿宋" w:hAnsi="仿宋" w:eastAsia="仿宋" w:cs="宋体"/>
                <w:bCs/>
                <w:sz w:val="24"/>
              </w:rPr>
              <w:t>地方政府其他一般债务付息支出项</w:t>
            </w:r>
          </w:p>
        </w:tc>
        <w:tc>
          <w:tcPr>
            <w:tcW w:w="2172" w:type="dxa"/>
            <w:shd w:val="clear" w:color="auto" w:fill="auto"/>
            <w:vAlign w:val="center"/>
          </w:tcPr>
          <w:p>
            <w:pPr>
              <w:jc w:val="right"/>
              <w:rPr>
                <w:rFonts w:ascii="仿宋" w:hAnsi="仿宋" w:eastAsia="仿宋" w:cs="宋体"/>
                <w:bCs/>
                <w:sz w:val="24"/>
              </w:rPr>
            </w:pPr>
            <w:r>
              <w:rPr>
                <w:rFonts w:hint="eastAsia" w:ascii="仿宋" w:hAnsi="仿宋" w:eastAsia="仿宋" w:cs="宋体"/>
                <w:bCs/>
                <w:sz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233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债务发行费用支出类</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23303</w:t>
            </w:r>
          </w:p>
        </w:tc>
        <w:tc>
          <w:tcPr>
            <w:tcW w:w="4430" w:type="dxa"/>
            <w:shd w:val="clear" w:color="auto" w:fill="auto"/>
            <w:vAlign w:val="center"/>
          </w:tcPr>
          <w:p>
            <w:pPr>
              <w:rPr>
                <w:rFonts w:ascii="仿宋" w:hAnsi="仿宋" w:eastAsia="仿宋" w:cs="宋体"/>
                <w:b/>
                <w:bCs/>
                <w:sz w:val="24"/>
              </w:rPr>
            </w:pPr>
            <w:r>
              <w:rPr>
                <w:rFonts w:hint="eastAsia" w:ascii="仿宋" w:hAnsi="仿宋" w:eastAsia="仿宋" w:cs="宋体"/>
                <w:b/>
                <w:bCs/>
                <w:sz w:val="24"/>
              </w:rPr>
              <w:t>地方政府一般债务发行费用支出款</w:t>
            </w:r>
          </w:p>
        </w:tc>
        <w:tc>
          <w:tcPr>
            <w:tcW w:w="2172" w:type="dxa"/>
            <w:shd w:val="clear" w:color="auto" w:fill="auto"/>
            <w:vAlign w:val="center"/>
          </w:tcPr>
          <w:p>
            <w:pPr>
              <w:jc w:val="right"/>
              <w:rPr>
                <w:rFonts w:ascii="仿宋" w:hAnsi="仿宋" w:eastAsia="仿宋" w:cs="宋体"/>
                <w:b/>
                <w:bCs/>
                <w:sz w:val="24"/>
              </w:rPr>
            </w:pPr>
            <w:r>
              <w:rPr>
                <w:rFonts w:hint="eastAsia" w:ascii="仿宋" w:hAnsi="仿宋" w:eastAsia="仿宋" w:cs="宋体"/>
                <w:b/>
                <w:bCs/>
                <w:sz w:val="24"/>
              </w:rPr>
              <w:t>40</w:t>
            </w:r>
          </w:p>
        </w:tc>
      </w:tr>
    </w:tbl>
    <w:p>
      <w:pPr>
        <w:spacing w:line="580" w:lineRule="exact"/>
        <w:rPr>
          <w:rFonts w:ascii="仿宋" w:hAnsi="仿宋" w:eastAsia="仿宋"/>
          <w:sz w:val="32"/>
          <w:szCs w:val="32"/>
        </w:rPr>
      </w:pPr>
      <w:r>
        <w:rPr>
          <w:rFonts w:hint="eastAsia" w:ascii="仿宋" w:hAnsi="仿宋" w:eastAsia="仿宋"/>
          <w:sz w:val="32"/>
          <w:szCs w:val="32"/>
        </w:rPr>
        <w:t>注：本表为区本级财力安排支出，不包括上级转移支付和上年结转资金。</w:t>
      </w:r>
    </w:p>
    <w:p>
      <w:pPr>
        <w:spacing w:line="580" w:lineRule="exact"/>
        <w:rPr>
          <w:rFonts w:ascii="仿宋" w:hAnsi="仿宋" w:eastAsia="仿宋"/>
          <w:b/>
          <w:sz w:val="32"/>
          <w:szCs w:val="32"/>
        </w:rPr>
      </w:pPr>
    </w:p>
    <w:p>
      <w:pPr>
        <w:spacing w:line="580" w:lineRule="exact"/>
        <w:rPr>
          <w:rFonts w:ascii="仿宋" w:hAnsi="仿宋" w:eastAsia="仿宋"/>
          <w:b/>
          <w:sz w:val="44"/>
          <w:szCs w:val="44"/>
        </w:rPr>
      </w:pPr>
    </w:p>
    <w:p>
      <w:pPr>
        <w:spacing w:line="580" w:lineRule="exact"/>
        <w:rPr>
          <w:rFonts w:ascii="仿宋" w:hAnsi="仿宋" w:eastAsia="仿宋"/>
          <w:b/>
          <w:sz w:val="44"/>
          <w:szCs w:val="44"/>
        </w:rPr>
      </w:pPr>
    </w:p>
    <w:p>
      <w:pPr>
        <w:spacing w:line="580" w:lineRule="exact"/>
        <w:rPr>
          <w:rFonts w:ascii="仿宋" w:hAnsi="仿宋" w:eastAsia="仿宋"/>
          <w:b/>
          <w:sz w:val="44"/>
          <w:szCs w:val="44"/>
        </w:rPr>
      </w:pPr>
    </w:p>
    <w:p>
      <w:pPr>
        <w:spacing w:line="580" w:lineRule="exact"/>
        <w:rPr>
          <w:rFonts w:ascii="仿宋" w:hAnsi="仿宋" w:eastAsia="仿宋"/>
          <w:b/>
          <w:sz w:val="44"/>
          <w:szCs w:val="44"/>
        </w:rPr>
      </w:pPr>
    </w:p>
    <w:p>
      <w:pPr>
        <w:spacing w:line="560" w:lineRule="exact"/>
        <w:rPr>
          <w:rFonts w:ascii="仿宋" w:hAnsi="仿宋" w:eastAsia="仿宋"/>
          <w:sz w:val="32"/>
        </w:rPr>
      </w:pPr>
    </w:p>
    <w:p>
      <w:pPr>
        <w:spacing w:line="580" w:lineRule="exact"/>
        <w:ind w:right="45"/>
        <w:rPr>
          <w:rFonts w:ascii="仿宋" w:hAnsi="仿宋" w:eastAsia="仿宋"/>
          <w:b/>
          <w:bCs/>
          <w:sz w:val="44"/>
          <w:szCs w:val="44"/>
        </w:rPr>
      </w:pPr>
    </w:p>
    <w:p>
      <w:pPr>
        <w:spacing w:line="580" w:lineRule="exact"/>
        <w:ind w:right="45" w:firstLine="1100" w:firstLineChars="249"/>
        <w:rPr>
          <w:rFonts w:ascii="仿宋" w:hAnsi="仿宋" w:eastAsia="仿宋"/>
          <w:b/>
          <w:bCs/>
          <w:sz w:val="44"/>
          <w:szCs w:val="44"/>
        </w:rPr>
      </w:pPr>
      <w:r>
        <w:rPr>
          <w:rFonts w:hint="eastAsia" w:ascii="仿宋" w:hAnsi="仿宋" w:eastAsia="仿宋"/>
          <w:b/>
          <w:bCs/>
          <w:sz w:val="44"/>
          <w:szCs w:val="44"/>
        </w:rPr>
        <w:t>2019年双桥区政府性基金预算</w:t>
      </w:r>
    </w:p>
    <w:p>
      <w:pPr>
        <w:spacing w:line="580" w:lineRule="exact"/>
        <w:ind w:right="45"/>
        <w:jc w:val="center"/>
        <w:rPr>
          <w:rFonts w:ascii="仿宋" w:hAnsi="仿宋" w:eastAsia="仿宋"/>
          <w:b/>
          <w:bCs/>
          <w:sz w:val="44"/>
          <w:szCs w:val="44"/>
        </w:rPr>
      </w:pPr>
      <w:r>
        <w:rPr>
          <w:rFonts w:hint="eastAsia" w:ascii="仿宋" w:hAnsi="仿宋" w:eastAsia="仿宋"/>
          <w:b/>
          <w:bCs/>
          <w:sz w:val="44"/>
          <w:szCs w:val="44"/>
        </w:rPr>
        <w:t>（草案）</w:t>
      </w:r>
    </w:p>
    <w:p>
      <w:pPr>
        <w:spacing w:line="580" w:lineRule="exact"/>
        <w:ind w:right="45"/>
        <w:jc w:val="center"/>
        <w:rPr>
          <w:rFonts w:ascii="仿宋" w:hAnsi="仿宋" w:eastAsia="仿宋"/>
          <w:b/>
          <w:bCs/>
          <w:sz w:val="32"/>
          <w:szCs w:val="32"/>
        </w:rPr>
      </w:pPr>
    </w:p>
    <w:p>
      <w:pPr>
        <w:spacing w:line="580" w:lineRule="exact"/>
        <w:ind w:right="45"/>
        <w:jc w:val="center"/>
        <w:rPr>
          <w:rFonts w:ascii="仿宋" w:hAnsi="仿宋" w:eastAsia="仿宋"/>
          <w:bCs/>
          <w:sz w:val="32"/>
          <w:szCs w:val="32"/>
        </w:rPr>
      </w:pPr>
      <w:r>
        <w:rPr>
          <w:rFonts w:hint="eastAsia" w:ascii="仿宋" w:hAnsi="仿宋" w:eastAsia="仿宋"/>
          <w:bCs/>
          <w:sz w:val="32"/>
          <w:szCs w:val="32"/>
        </w:rPr>
        <w:t>目  录</w:t>
      </w:r>
    </w:p>
    <w:p>
      <w:pPr>
        <w:spacing w:line="580" w:lineRule="exact"/>
        <w:ind w:right="44"/>
        <w:rPr>
          <w:rFonts w:ascii="仿宋" w:hAnsi="仿宋" w:eastAsia="仿宋"/>
          <w:sz w:val="32"/>
          <w:szCs w:val="32"/>
        </w:rPr>
      </w:pPr>
      <w:r>
        <w:rPr>
          <w:rFonts w:hint="eastAsia" w:ascii="仿宋" w:hAnsi="仿宋" w:eastAsia="仿宋"/>
          <w:sz w:val="32"/>
          <w:szCs w:val="32"/>
        </w:rPr>
        <w:t>§1  2019年政府性基金收支预算及平衡情况…………</w:t>
      </w:r>
    </w:p>
    <w:p>
      <w:pPr>
        <w:spacing w:line="580" w:lineRule="exact"/>
        <w:ind w:right="44"/>
        <w:rPr>
          <w:rFonts w:ascii="仿宋" w:hAnsi="仿宋" w:eastAsia="仿宋"/>
          <w:sz w:val="32"/>
          <w:szCs w:val="32"/>
        </w:rPr>
      </w:pPr>
      <w:r>
        <w:rPr>
          <w:rFonts w:hint="eastAsia" w:ascii="仿宋" w:hAnsi="仿宋" w:eastAsia="仿宋"/>
          <w:sz w:val="32"/>
          <w:szCs w:val="32"/>
        </w:rPr>
        <w:t>§2  2019年政府性基金支出预算…………</w:t>
      </w: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80" w:lineRule="exact"/>
        <w:ind w:right="45"/>
        <w:rPr>
          <w:rFonts w:ascii="仿宋" w:hAnsi="仿宋" w:eastAsia="仿宋"/>
          <w:b/>
          <w:bCs/>
          <w:sz w:val="44"/>
          <w:szCs w:val="44"/>
        </w:rPr>
      </w:pPr>
    </w:p>
    <w:p>
      <w:pPr>
        <w:spacing w:line="550" w:lineRule="exact"/>
        <w:ind w:left="3300" w:right="44" w:hanging="3300" w:hangingChars="750"/>
        <w:rPr>
          <w:rFonts w:ascii="仿宋" w:hAnsi="仿宋" w:eastAsia="仿宋"/>
          <w:sz w:val="44"/>
          <w:szCs w:val="44"/>
        </w:rPr>
      </w:pPr>
      <w:r>
        <w:rPr>
          <w:rFonts w:hint="eastAsia" w:ascii="仿宋" w:hAnsi="仿宋" w:eastAsia="仿宋"/>
          <w:sz w:val="44"/>
          <w:szCs w:val="44"/>
        </w:rPr>
        <w:t>§1 2019年政府性基金收支预算         及平衡情况</w:t>
      </w:r>
    </w:p>
    <w:p>
      <w:pPr>
        <w:spacing w:line="550" w:lineRule="exact"/>
        <w:ind w:right="44"/>
        <w:rPr>
          <w:rFonts w:ascii="仿宋" w:hAnsi="仿宋" w:eastAsia="仿宋"/>
          <w:b/>
          <w:sz w:val="44"/>
          <w:szCs w:val="44"/>
        </w:rPr>
      </w:pPr>
    </w:p>
    <w:p>
      <w:pPr>
        <w:spacing w:line="580" w:lineRule="exact"/>
        <w:ind w:firstLine="640"/>
        <w:outlineLvl w:val="0"/>
        <w:rPr>
          <w:rFonts w:ascii="仿宋" w:hAnsi="仿宋" w:eastAsia="仿宋"/>
          <w:b/>
          <w:sz w:val="32"/>
        </w:rPr>
      </w:pPr>
      <w:r>
        <w:rPr>
          <w:rFonts w:hint="eastAsia" w:ascii="仿宋" w:hAnsi="仿宋" w:eastAsia="仿宋"/>
          <w:b/>
          <w:sz w:val="32"/>
        </w:rPr>
        <w:t>一、政府性基金收入预算</w:t>
      </w:r>
    </w:p>
    <w:p>
      <w:pPr>
        <w:spacing w:line="580" w:lineRule="exact"/>
        <w:ind w:firstLine="640"/>
        <w:rPr>
          <w:rFonts w:ascii="仿宋" w:hAnsi="仿宋" w:eastAsia="仿宋"/>
          <w:sz w:val="32"/>
        </w:rPr>
      </w:pPr>
      <w:r>
        <w:rPr>
          <w:rFonts w:hint="eastAsia" w:ascii="仿宋" w:hAnsi="仿宋" w:eastAsia="仿宋"/>
          <w:sz w:val="32"/>
        </w:rPr>
        <w:t>全区政府性基金预算总收入271210万元，主要包括：</w:t>
      </w:r>
    </w:p>
    <w:p>
      <w:pPr>
        <w:widowControl w:val="0"/>
        <w:numPr>
          <w:numId w:val="0"/>
        </w:numPr>
        <w:spacing w:line="550" w:lineRule="exact"/>
        <w:ind w:left="627" w:leftChars="0"/>
        <w:jc w:val="both"/>
        <w:rPr>
          <w:rFonts w:ascii="仿宋" w:hAnsi="仿宋" w:eastAsia="仿宋"/>
          <w:sz w:val="32"/>
          <w:szCs w:val="32"/>
        </w:rPr>
      </w:pPr>
      <w:r>
        <w:rPr>
          <w:rFonts w:hint="eastAsia" w:ascii="仿宋" w:hAnsi="仿宋" w:eastAsia="仿宋" w:cs="仿宋"/>
          <w:sz w:val="32"/>
          <w:szCs w:val="32"/>
        </w:rPr>
        <w:t>①</w:t>
      </w:r>
      <w:bookmarkStart w:id="0" w:name="_GoBack"/>
      <w:bookmarkEnd w:id="0"/>
      <w:r>
        <w:rPr>
          <w:rFonts w:hint="eastAsia" w:ascii="仿宋" w:hAnsi="仿宋" w:eastAsia="仿宋"/>
          <w:sz w:val="32"/>
          <w:szCs w:val="32"/>
        </w:rPr>
        <w:t xml:space="preserve"> 区级城市基础设施配套费收入6000万元。</w:t>
      </w:r>
    </w:p>
    <w:p>
      <w:pPr>
        <w:spacing w:line="550" w:lineRule="exact"/>
        <w:ind w:firstLine="627" w:firstLineChars="196"/>
        <w:rPr>
          <w:rFonts w:ascii="仿宋" w:hAnsi="仿宋" w:eastAsia="仿宋"/>
          <w:sz w:val="32"/>
          <w:szCs w:val="32"/>
        </w:rPr>
      </w:pPr>
      <w:r>
        <w:rPr>
          <w:rFonts w:hint="eastAsia" w:ascii="仿宋" w:hAnsi="仿宋" w:eastAsia="仿宋"/>
          <w:sz w:val="32"/>
          <w:szCs w:val="32"/>
        </w:rPr>
        <w:t>② 上级转移支付收入247235万元（</w:t>
      </w:r>
      <w:r>
        <w:rPr>
          <w:rFonts w:hint="eastAsia" w:ascii="仿宋" w:hAnsi="仿宋" w:eastAsia="仿宋"/>
          <w:color w:val="000000"/>
          <w:sz w:val="32"/>
          <w:szCs w:val="32"/>
        </w:rPr>
        <w:t>纳入政府债务的土地出让收入及土地出让纯收益</w:t>
      </w:r>
      <w:r>
        <w:rPr>
          <w:rFonts w:hint="eastAsia" w:ascii="仿宋" w:hAnsi="仿宋" w:eastAsia="仿宋"/>
          <w:sz w:val="32"/>
          <w:szCs w:val="32"/>
        </w:rPr>
        <w:t>转移支付243000万元、提前下达2018年基金转移支付235万元）。</w:t>
      </w:r>
    </w:p>
    <w:p>
      <w:pPr>
        <w:spacing w:line="550" w:lineRule="exact"/>
        <w:ind w:firstLine="627" w:firstLineChars="196"/>
        <w:rPr>
          <w:rFonts w:ascii="仿宋" w:hAnsi="仿宋" w:eastAsia="仿宋"/>
          <w:sz w:val="32"/>
          <w:szCs w:val="32"/>
        </w:rPr>
      </w:pPr>
      <w:r>
        <w:rPr>
          <w:rFonts w:hint="eastAsia" w:ascii="仿宋" w:hAnsi="仿宋" w:eastAsia="仿宋"/>
          <w:sz w:val="32"/>
          <w:szCs w:val="32"/>
        </w:rPr>
        <w:t>③上年结转17975万元。</w:t>
      </w:r>
    </w:p>
    <w:p>
      <w:pPr>
        <w:spacing w:line="580" w:lineRule="exact"/>
        <w:ind w:firstLine="640"/>
        <w:outlineLvl w:val="0"/>
        <w:rPr>
          <w:rFonts w:ascii="仿宋" w:hAnsi="仿宋" w:eastAsia="仿宋"/>
          <w:b/>
          <w:sz w:val="32"/>
        </w:rPr>
      </w:pPr>
      <w:r>
        <w:rPr>
          <w:rFonts w:hint="eastAsia" w:ascii="仿宋" w:hAnsi="仿宋" w:eastAsia="仿宋"/>
          <w:b/>
          <w:sz w:val="32"/>
        </w:rPr>
        <w:t>二、政府性基金支出预算</w:t>
      </w:r>
    </w:p>
    <w:p>
      <w:pPr>
        <w:ind w:firstLine="640" w:firstLineChars="200"/>
        <w:rPr>
          <w:rFonts w:ascii="仿宋" w:hAnsi="仿宋" w:eastAsia="仿宋"/>
          <w:sz w:val="32"/>
          <w:szCs w:val="32"/>
        </w:rPr>
      </w:pPr>
      <w:r>
        <w:rPr>
          <w:rFonts w:hint="eastAsia" w:ascii="仿宋" w:hAnsi="仿宋" w:eastAsia="仿宋"/>
          <w:sz w:val="32"/>
          <w:szCs w:val="32"/>
        </w:rPr>
        <w:t>全区政府性基金预算总支出265610万元（不含上解市级5600万元），主要包括：</w:t>
      </w:r>
    </w:p>
    <w:p>
      <w:pPr>
        <w:widowControl w:val="0"/>
        <w:numPr>
          <w:ilvl w:val="0"/>
          <w:numId w:val="2"/>
        </w:numPr>
        <w:jc w:val="both"/>
        <w:rPr>
          <w:rFonts w:ascii="仿宋" w:hAnsi="仿宋" w:eastAsia="仿宋"/>
          <w:sz w:val="32"/>
          <w:szCs w:val="32"/>
        </w:rPr>
      </w:pPr>
      <w:r>
        <w:rPr>
          <w:rFonts w:hint="eastAsia" w:ascii="仿宋" w:hAnsi="仿宋" w:eastAsia="仿宋"/>
          <w:sz w:val="32"/>
          <w:szCs w:val="32"/>
        </w:rPr>
        <w:t>政府性基金支出22610万元。</w:t>
      </w:r>
    </w:p>
    <w:p>
      <w:pPr>
        <w:widowControl w:val="0"/>
        <w:numPr>
          <w:ilvl w:val="0"/>
          <w:numId w:val="2"/>
        </w:numPr>
        <w:jc w:val="both"/>
        <w:rPr>
          <w:rFonts w:ascii="仿宋" w:hAnsi="仿宋" w:eastAsia="仿宋"/>
          <w:sz w:val="32"/>
          <w:szCs w:val="32"/>
        </w:rPr>
      </w:pPr>
      <w:r>
        <w:rPr>
          <w:rFonts w:hint="eastAsia" w:ascii="仿宋" w:hAnsi="仿宋" w:eastAsia="仿宋"/>
          <w:sz w:val="32"/>
          <w:szCs w:val="32"/>
        </w:rPr>
        <w:t>为实现当年财政收支平衡，保证全区运转及民政策支出需要，将2018年</w:t>
      </w:r>
      <w:r>
        <w:rPr>
          <w:rFonts w:hint="eastAsia" w:ascii="仿宋" w:hAnsi="仿宋" w:eastAsia="仿宋"/>
          <w:color w:val="000000"/>
          <w:sz w:val="32"/>
          <w:szCs w:val="32"/>
        </w:rPr>
        <w:t>纳入政府债务的土地出让收入及土地出让纯收益</w:t>
      </w:r>
      <w:r>
        <w:rPr>
          <w:rFonts w:hint="eastAsia" w:ascii="仿宋" w:hAnsi="仿宋" w:eastAsia="仿宋"/>
          <w:sz w:val="32"/>
          <w:szCs w:val="32"/>
        </w:rPr>
        <w:t>转移支付243000万元调入一般公共预算。</w:t>
      </w:r>
    </w:p>
    <w:p>
      <w:pPr>
        <w:spacing w:line="480" w:lineRule="exact"/>
        <w:ind w:right="45"/>
        <w:jc w:val="center"/>
        <w:rPr>
          <w:rFonts w:ascii="仿宋" w:hAnsi="仿宋" w:eastAsia="仿宋"/>
          <w:sz w:val="44"/>
          <w:szCs w:val="44"/>
        </w:rPr>
      </w:pPr>
    </w:p>
    <w:p>
      <w:pPr>
        <w:spacing w:line="480" w:lineRule="exact"/>
        <w:ind w:right="45"/>
        <w:jc w:val="center"/>
        <w:rPr>
          <w:rFonts w:ascii="仿宋" w:hAnsi="仿宋" w:eastAsia="仿宋"/>
          <w:sz w:val="44"/>
          <w:szCs w:val="44"/>
        </w:rPr>
      </w:pPr>
    </w:p>
    <w:p>
      <w:pPr>
        <w:spacing w:line="480" w:lineRule="exact"/>
        <w:ind w:right="45"/>
        <w:jc w:val="center"/>
        <w:rPr>
          <w:rFonts w:ascii="仿宋" w:hAnsi="仿宋" w:eastAsia="仿宋"/>
          <w:sz w:val="44"/>
          <w:szCs w:val="44"/>
        </w:rPr>
      </w:pPr>
    </w:p>
    <w:p>
      <w:pPr>
        <w:spacing w:line="480" w:lineRule="exact"/>
        <w:ind w:right="45"/>
        <w:jc w:val="center"/>
        <w:rPr>
          <w:rFonts w:ascii="仿宋" w:hAnsi="仿宋" w:eastAsia="仿宋"/>
          <w:sz w:val="44"/>
          <w:szCs w:val="44"/>
        </w:rPr>
      </w:pPr>
    </w:p>
    <w:p>
      <w:pPr>
        <w:spacing w:line="480" w:lineRule="exact"/>
        <w:ind w:right="45"/>
        <w:jc w:val="center"/>
        <w:rPr>
          <w:rFonts w:ascii="仿宋" w:hAnsi="仿宋" w:eastAsia="仿宋"/>
          <w:sz w:val="44"/>
          <w:szCs w:val="44"/>
        </w:rPr>
      </w:pPr>
    </w:p>
    <w:p>
      <w:pPr>
        <w:spacing w:line="580" w:lineRule="exact"/>
        <w:ind w:firstLine="640"/>
        <w:outlineLvl w:val="0"/>
        <w:rPr>
          <w:rFonts w:ascii="仿宋" w:hAnsi="仿宋" w:eastAsia="仿宋"/>
          <w:b/>
          <w:sz w:val="32"/>
        </w:rPr>
      </w:pPr>
    </w:p>
    <w:p>
      <w:pPr>
        <w:spacing w:line="580" w:lineRule="exact"/>
        <w:ind w:firstLine="640"/>
        <w:outlineLvl w:val="0"/>
        <w:rPr>
          <w:rFonts w:ascii="仿宋" w:hAnsi="仿宋" w:eastAsia="仿宋"/>
          <w:b/>
          <w:sz w:val="32"/>
        </w:rPr>
      </w:pPr>
      <w:r>
        <w:rPr>
          <w:rFonts w:hint="eastAsia" w:ascii="仿宋" w:hAnsi="仿宋" w:eastAsia="仿宋"/>
          <w:b/>
          <w:sz w:val="32"/>
        </w:rPr>
        <w:t>三、政府性基金预算收支平衡情况</w:t>
      </w:r>
    </w:p>
    <w:p>
      <w:pPr>
        <w:spacing w:line="580" w:lineRule="exact"/>
        <w:ind w:firstLine="640"/>
        <w:outlineLvl w:val="0"/>
        <w:rPr>
          <w:rFonts w:ascii="仿宋" w:hAnsi="仿宋" w:eastAsia="仿宋"/>
          <w:b/>
          <w:sz w:val="32"/>
        </w:rPr>
      </w:pPr>
      <w:r>
        <w:rPr>
          <w:rFonts w:hint="eastAsia" w:ascii="仿宋" w:hAnsi="仿宋" w:eastAsia="仿宋"/>
          <w:b/>
          <w:sz w:val="32"/>
        </w:rPr>
        <w:t xml:space="preserve">     2019年政府性基金预算收支平衡情况表</w:t>
      </w:r>
    </w:p>
    <w:p>
      <w:pPr>
        <w:spacing w:line="480" w:lineRule="exact"/>
        <w:ind w:right="45"/>
        <w:jc w:val="center"/>
        <w:rPr>
          <w:rFonts w:ascii="仿宋" w:hAnsi="仿宋" w:eastAsia="仿宋"/>
          <w:b/>
          <w:sz w:val="44"/>
          <w:szCs w:val="44"/>
        </w:rPr>
      </w:pPr>
    </w:p>
    <w:tbl>
      <w:tblPr>
        <w:tblStyle w:val="10"/>
        <w:tblW w:w="9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3576"/>
        <w:gridCol w:w="1325"/>
        <w:gridCol w:w="3249"/>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212" w:hRule="atLeast"/>
          <w:jc w:val="center"/>
        </w:trPr>
        <w:tc>
          <w:tcPr>
            <w:tcW w:w="3576" w:type="dxa"/>
            <w:shd w:val="clear" w:color="auto" w:fill="auto"/>
            <w:vAlign w:val="bottom"/>
          </w:tcPr>
          <w:p>
            <w:pPr>
              <w:spacing w:line="280" w:lineRule="exact"/>
              <w:rPr>
                <w:rFonts w:ascii="仿宋" w:hAnsi="仿宋" w:eastAsia="仿宋" w:cs="宋体"/>
                <w:sz w:val="22"/>
              </w:rPr>
            </w:pPr>
          </w:p>
        </w:tc>
        <w:tc>
          <w:tcPr>
            <w:tcW w:w="1325" w:type="dxa"/>
            <w:shd w:val="clear" w:color="auto" w:fill="auto"/>
            <w:vAlign w:val="bottom"/>
          </w:tcPr>
          <w:p>
            <w:pPr>
              <w:spacing w:line="280" w:lineRule="exact"/>
              <w:rPr>
                <w:rFonts w:ascii="仿宋" w:hAnsi="仿宋" w:eastAsia="仿宋" w:cs="宋体"/>
                <w:sz w:val="22"/>
              </w:rPr>
            </w:pPr>
          </w:p>
        </w:tc>
        <w:tc>
          <w:tcPr>
            <w:tcW w:w="4574" w:type="dxa"/>
            <w:gridSpan w:val="2"/>
            <w:shd w:val="clear" w:color="auto" w:fill="auto"/>
            <w:vAlign w:val="bottom"/>
          </w:tcPr>
          <w:p>
            <w:pPr>
              <w:spacing w:line="280" w:lineRule="exact"/>
              <w:jc w:val="right"/>
              <w:rPr>
                <w:rFonts w:ascii="仿宋" w:hAnsi="仿宋" w:eastAsia="仿宋" w:cs="宋体"/>
                <w:sz w:val="18"/>
                <w:szCs w:val="18"/>
              </w:rPr>
            </w:pPr>
            <w:r>
              <w:rPr>
                <w:rFonts w:hint="eastAsia" w:ascii="仿宋" w:hAnsi="仿宋" w:eastAsia="仿宋" w:cs="宋体"/>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197" w:hRule="atLeast"/>
          <w:jc w:val="center"/>
        </w:trPr>
        <w:tc>
          <w:tcPr>
            <w:tcW w:w="4901" w:type="dxa"/>
            <w:gridSpan w:val="2"/>
            <w:shd w:val="clear" w:color="auto" w:fill="auto"/>
            <w:vAlign w:val="center"/>
          </w:tcPr>
          <w:p>
            <w:pPr>
              <w:spacing w:line="280" w:lineRule="exact"/>
              <w:jc w:val="center"/>
              <w:rPr>
                <w:rFonts w:ascii="仿宋" w:hAnsi="仿宋" w:eastAsia="仿宋" w:cs="宋体"/>
                <w:b/>
                <w:bCs/>
                <w:sz w:val="20"/>
                <w:szCs w:val="20"/>
              </w:rPr>
            </w:pPr>
            <w:r>
              <w:rPr>
                <w:rFonts w:hint="eastAsia" w:ascii="仿宋" w:hAnsi="仿宋" w:eastAsia="仿宋" w:cs="宋体"/>
                <w:b/>
                <w:bCs/>
                <w:sz w:val="20"/>
                <w:szCs w:val="20"/>
              </w:rPr>
              <w:t>收                入</w:t>
            </w:r>
          </w:p>
        </w:tc>
        <w:tc>
          <w:tcPr>
            <w:tcW w:w="4574" w:type="dxa"/>
            <w:gridSpan w:val="2"/>
            <w:shd w:val="clear" w:color="auto" w:fill="auto"/>
            <w:vAlign w:val="center"/>
          </w:tcPr>
          <w:p>
            <w:pPr>
              <w:spacing w:line="280" w:lineRule="exact"/>
              <w:jc w:val="center"/>
              <w:rPr>
                <w:rFonts w:ascii="仿宋" w:hAnsi="仿宋" w:eastAsia="仿宋" w:cs="宋体"/>
                <w:b/>
                <w:bCs/>
                <w:sz w:val="20"/>
                <w:szCs w:val="20"/>
              </w:rPr>
            </w:pPr>
            <w:r>
              <w:rPr>
                <w:rFonts w:hint="eastAsia" w:ascii="仿宋" w:hAnsi="仿宋" w:eastAsia="仿宋" w:cs="宋体"/>
                <w:b/>
                <w:bCs/>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00" w:hRule="atLeast"/>
          <w:jc w:val="center"/>
        </w:trPr>
        <w:tc>
          <w:tcPr>
            <w:tcW w:w="3576" w:type="dxa"/>
            <w:shd w:val="clear" w:color="auto" w:fill="auto"/>
            <w:vAlign w:val="center"/>
          </w:tcPr>
          <w:p>
            <w:pPr>
              <w:spacing w:line="280" w:lineRule="exact"/>
              <w:jc w:val="center"/>
              <w:rPr>
                <w:rFonts w:ascii="仿宋" w:hAnsi="仿宋" w:eastAsia="仿宋" w:cs="宋体"/>
                <w:b/>
                <w:bCs/>
                <w:szCs w:val="21"/>
              </w:rPr>
            </w:pPr>
            <w:r>
              <w:rPr>
                <w:rFonts w:hint="eastAsia" w:ascii="仿宋" w:hAnsi="仿宋" w:eastAsia="仿宋" w:cs="宋体"/>
                <w:b/>
                <w:bCs/>
                <w:szCs w:val="21"/>
              </w:rPr>
              <w:t>预算科目</w:t>
            </w:r>
          </w:p>
        </w:tc>
        <w:tc>
          <w:tcPr>
            <w:tcW w:w="1325" w:type="dxa"/>
            <w:shd w:val="clear" w:color="auto" w:fill="auto"/>
            <w:vAlign w:val="center"/>
          </w:tcPr>
          <w:p>
            <w:pPr>
              <w:spacing w:line="280" w:lineRule="exact"/>
              <w:jc w:val="center"/>
              <w:rPr>
                <w:rFonts w:ascii="仿宋" w:hAnsi="仿宋" w:eastAsia="仿宋" w:cs="宋体"/>
                <w:b/>
                <w:bCs/>
                <w:szCs w:val="21"/>
              </w:rPr>
            </w:pPr>
            <w:r>
              <w:rPr>
                <w:rFonts w:hint="eastAsia" w:ascii="仿宋" w:hAnsi="仿宋" w:eastAsia="仿宋" w:cs="宋体"/>
                <w:b/>
                <w:bCs/>
                <w:szCs w:val="21"/>
              </w:rPr>
              <w:t>2019年预算</w:t>
            </w:r>
          </w:p>
        </w:tc>
        <w:tc>
          <w:tcPr>
            <w:tcW w:w="3249" w:type="dxa"/>
            <w:shd w:val="clear" w:color="auto" w:fill="auto"/>
            <w:vAlign w:val="center"/>
          </w:tcPr>
          <w:p>
            <w:pPr>
              <w:spacing w:line="280" w:lineRule="exact"/>
              <w:jc w:val="center"/>
              <w:rPr>
                <w:rFonts w:ascii="仿宋" w:hAnsi="仿宋" w:eastAsia="仿宋" w:cs="宋体"/>
                <w:b/>
                <w:bCs/>
                <w:szCs w:val="21"/>
              </w:rPr>
            </w:pPr>
            <w:r>
              <w:rPr>
                <w:rFonts w:hint="eastAsia" w:ascii="仿宋" w:hAnsi="仿宋" w:eastAsia="仿宋" w:cs="宋体"/>
                <w:b/>
                <w:bCs/>
                <w:szCs w:val="21"/>
              </w:rPr>
              <w:t>预算科目</w:t>
            </w:r>
          </w:p>
        </w:tc>
        <w:tc>
          <w:tcPr>
            <w:tcW w:w="1325" w:type="dxa"/>
            <w:shd w:val="clear" w:color="auto" w:fill="auto"/>
            <w:vAlign w:val="center"/>
          </w:tcPr>
          <w:p>
            <w:pPr>
              <w:spacing w:line="280" w:lineRule="exact"/>
              <w:jc w:val="center"/>
              <w:rPr>
                <w:rFonts w:ascii="仿宋" w:hAnsi="仿宋" w:eastAsia="仿宋" w:cs="宋体"/>
                <w:b/>
                <w:bCs/>
                <w:szCs w:val="21"/>
              </w:rPr>
            </w:pPr>
            <w:r>
              <w:rPr>
                <w:rFonts w:hint="eastAsia" w:ascii="仿宋" w:hAnsi="仿宋" w:eastAsia="仿宋" w:cs="宋体"/>
                <w:b/>
                <w:bCs/>
                <w:szCs w:val="21"/>
              </w:rPr>
              <w:t>2019年预算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255" w:hRule="atLeast"/>
          <w:jc w:val="center"/>
        </w:trPr>
        <w:tc>
          <w:tcPr>
            <w:tcW w:w="3576" w:type="dxa"/>
            <w:shd w:val="clear" w:color="auto" w:fill="auto"/>
            <w:vAlign w:val="bottom"/>
          </w:tcPr>
          <w:p>
            <w:pPr>
              <w:spacing w:line="280" w:lineRule="exact"/>
              <w:rPr>
                <w:rFonts w:ascii="仿宋" w:hAnsi="仿宋" w:eastAsia="仿宋" w:cs="宋体"/>
                <w:szCs w:val="21"/>
              </w:rPr>
            </w:pPr>
            <w:r>
              <w:rPr>
                <w:rFonts w:hint="eastAsia" w:ascii="仿宋" w:hAnsi="仿宋" w:eastAsia="仿宋" w:cs="宋体"/>
                <w:szCs w:val="21"/>
              </w:rPr>
              <w:t>一、上年结转</w:t>
            </w:r>
          </w:p>
        </w:tc>
        <w:tc>
          <w:tcPr>
            <w:tcW w:w="1325" w:type="dxa"/>
            <w:shd w:val="clear" w:color="auto" w:fill="auto"/>
            <w:vAlign w:val="bottom"/>
          </w:tcPr>
          <w:p>
            <w:pPr>
              <w:spacing w:line="280" w:lineRule="exact"/>
              <w:jc w:val="center"/>
              <w:rPr>
                <w:rFonts w:ascii="仿宋" w:hAnsi="仿宋" w:eastAsia="仿宋" w:cs="宋体"/>
                <w:szCs w:val="21"/>
              </w:rPr>
            </w:pPr>
            <w:r>
              <w:rPr>
                <w:rFonts w:hint="eastAsia" w:ascii="仿宋" w:hAnsi="仿宋" w:eastAsia="仿宋" w:cs="宋体"/>
                <w:szCs w:val="21"/>
              </w:rPr>
              <w:t>17975</w:t>
            </w:r>
          </w:p>
        </w:tc>
        <w:tc>
          <w:tcPr>
            <w:tcW w:w="3249" w:type="dxa"/>
            <w:shd w:val="clear" w:color="auto" w:fill="auto"/>
            <w:vAlign w:val="bottom"/>
          </w:tcPr>
          <w:p>
            <w:pPr>
              <w:spacing w:line="280" w:lineRule="exact"/>
              <w:rPr>
                <w:rFonts w:ascii="仿宋" w:hAnsi="仿宋" w:eastAsia="仿宋" w:cs="宋体"/>
                <w:szCs w:val="21"/>
              </w:rPr>
            </w:pPr>
            <w:r>
              <w:rPr>
                <w:rFonts w:hint="eastAsia" w:ascii="仿宋" w:hAnsi="仿宋" w:eastAsia="仿宋" w:cs="宋体"/>
                <w:szCs w:val="21"/>
              </w:rPr>
              <w:t>一、政府性基金支出</w:t>
            </w:r>
          </w:p>
        </w:tc>
        <w:tc>
          <w:tcPr>
            <w:tcW w:w="1325" w:type="dxa"/>
            <w:shd w:val="clear" w:color="auto" w:fill="auto"/>
            <w:vAlign w:val="bottom"/>
          </w:tcPr>
          <w:p>
            <w:pPr>
              <w:spacing w:line="280" w:lineRule="exact"/>
              <w:jc w:val="center"/>
              <w:rPr>
                <w:rFonts w:ascii="仿宋" w:hAnsi="仿宋" w:eastAsia="仿宋" w:cs="宋体"/>
                <w:szCs w:val="21"/>
              </w:rPr>
            </w:pPr>
            <w:r>
              <w:rPr>
                <w:rFonts w:hint="eastAsia" w:ascii="仿宋" w:hAnsi="仿宋" w:eastAsia="仿宋" w:cs="宋体"/>
                <w:szCs w:val="21"/>
              </w:rPr>
              <w:t>22610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255" w:hRule="atLeast"/>
          <w:jc w:val="center"/>
        </w:trPr>
        <w:tc>
          <w:tcPr>
            <w:tcW w:w="3576" w:type="dxa"/>
            <w:shd w:val="clear" w:color="auto" w:fill="auto"/>
            <w:vAlign w:val="bottom"/>
          </w:tcPr>
          <w:p>
            <w:pPr>
              <w:spacing w:line="280" w:lineRule="exact"/>
              <w:rPr>
                <w:rFonts w:ascii="仿宋" w:hAnsi="仿宋" w:eastAsia="仿宋" w:cs="宋体"/>
                <w:szCs w:val="21"/>
              </w:rPr>
            </w:pPr>
            <w:r>
              <w:rPr>
                <w:rFonts w:hint="eastAsia" w:ascii="仿宋" w:hAnsi="仿宋" w:eastAsia="仿宋" w:cs="宋体"/>
                <w:szCs w:val="21"/>
              </w:rPr>
              <w:t>二、政府性基金收入</w:t>
            </w:r>
          </w:p>
        </w:tc>
        <w:tc>
          <w:tcPr>
            <w:tcW w:w="1325" w:type="dxa"/>
            <w:shd w:val="clear" w:color="auto" w:fill="auto"/>
            <w:vAlign w:val="bottom"/>
          </w:tcPr>
          <w:p>
            <w:pPr>
              <w:spacing w:line="280" w:lineRule="exact"/>
              <w:jc w:val="center"/>
              <w:rPr>
                <w:rFonts w:ascii="仿宋" w:hAnsi="仿宋" w:eastAsia="仿宋" w:cs="宋体"/>
                <w:szCs w:val="21"/>
              </w:rPr>
            </w:pPr>
            <w:r>
              <w:rPr>
                <w:rFonts w:hint="eastAsia" w:ascii="仿宋" w:hAnsi="仿宋" w:eastAsia="仿宋" w:cs="宋体"/>
                <w:szCs w:val="21"/>
              </w:rPr>
              <w:t>6000</w:t>
            </w:r>
          </w:p>
        </w:tc>
        <w:tc>
          <w:tcPr>
            <w:tcW w:w="3249" w:type="dxa"/>
            <w:shd w:val="clear" w:color="auto" w:fill="auto"/>
            <w:vAlign w:val="bottom"/>
          </w:tcPr>
          <w:p>
            <w:pPr>
              <w:spacing w:line="280" w:lineRule="exact"/>
              <w:rPr>
                <w:rFonts w:ascii="仿宋" w:hAnsi="仿宋" w:eastAsia="仿宋" w:cs="宋体"/>
                <w:szCs w:val="21"/>
              </w:rPr>
            </w:pPr>
            <w:r>
              <w:rPr>
                <w:rFonts w:hint="eastAsia" w:ascii="仿宋" w:hAnsi="仿宋" w:eastAsia="仿宋" w:cs="宋体"/>
                <w:szCs w:val="21"/>
              </w:rPr>
              <w:t>二、转移性支出</w:t>
            </w:r>
          </w:p>
        </w:tc>
        <w:tc>
          <w:tcPr>
            <w:tcW w:w="1325" w:type="dxa"/>
            <w:shd w:val="clear" w:color="auto" w:fill="auto"/>
            <w:vAlign w:val="bottom"/>
          </w:tcPr>
          <w:p>
            <w:pPr>
              <w:spacing w:line="280" w:lineRule="exact"/>
              <w:jc w:val="center"/>
              <w:rPr>
                <w:rFonts w:ascii="仿宋" w:hAnsi="仿宋" w:eastAsia="仿宋" w:cs="宋体"/>
                <w:szCs w:val="21"/>
              </w:rPr>
            </w:pPr>
            <w:r>
              <w:rPr>
                <w:rFonts w:hint="eastAsia" w:ascii="仿宋" w:hAnsi="仿宋" w:eastAsia="仿宋" w:cs="宋体"/>
                <w:szCs w:val="21"/>
              </w:rPr>
              <w:t xml:space="preserve"> 243000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255" w:hRule="atLeast"/>
          <w:jc w:val="center"/>
        </w:trPr>
        <w:tc>
          <w:tcPr>
            <w:tcW w:w="3576" w:type="dxa"/>
            <w:shd w:val="clear" w:color="auto" w:fill="auto"/>
            <w:vAlign w:val="bottom"/>
          </w:tcPr>
          <w:p>
            <w:pPr>
              <w:spacing w:line="280" w:lineRule="exact"/>
              <w:rPr>
                <w:rFonts w:ascii="仿宋" w:hAnsi="仿宋" w:eastAsia="仿宋" w:cs="宋体"/>
                <w:szCs w:val="21"/>
              </w:rPr>
            </w:pPr>
            <w:r>
              <w:rPr>
                <w:rFonts w:hint="eastAsia" w:ascii="仿宋" w:hAnsi="仿宋" w:eastAsia="仿宋" w:cs="宋体"/>
                <w:szCs w:val="21"/>
              </w:rPr>
              <w:t xml:space="preserve">   1、城市基础设施规划配套费收入</w:t>
            </w:r>
          </w:p>
        </w:tc>
        <w:tc>
          <w:tcPr>
            <w:tcW w:w="1325" w:type="dxa"/>
            <w:shd w:val="clear" w:color="auto" w:fill="auto"/>
            <w:vAlign w:val="bottom"/>
          </w:tcPr>
          <w:p>
            <w:pPr>
              <w:spacing w:line="280" w:lineRule="exact"/>
              <w:jc w:val="center"/>
              <w:rPr>
                <w:rFonts w:ascii="仿宋" w:hAnsi="仿宋" w:eastAsia="仿宋" w:cs="宋体"/>
                <w:szCs w:val="21"/>
              </w:rPr>
            </w:pPr>
            <w:r>
              <w:rPr>
                <w:rFonts w:hint="eastAsia" w:ascii="仿宋" w:hAnsi="仿宋" w:eastAsia="仿宋" w:cs="宋体"/>
                <w:szCs w:val="21"/>
              </w:rPr>
              <w:t>6000</w:t>
            </w:r>
          </w:p>
        </w:tc>
        <w:tc>
          <w:tcPr>
            <w:tcW w:w="3249" w:type="dxa"/>
            <w:shd w:val="clear" w:color="auto" w:fill="auto"/>
            <w:vAlign w:val="bottom"/>
          </w:tcPr>
          <w:p>
            <w:pPr>
              <w:spacing w:line="280" w:lineRule="exact"/>
              <w:rPr>
                <w:rFonts w:ascii="仿宋" w:hAnsi="仿宋" w:eastAsia="仿宋" w:cs="宋体"/>
                <w:szCs w:val="21"/>
              </w:rPr>
            </w:pPr>
            <w:r>
              <w:rPr>
                <w:rFonts w:hint="eastAsia" w:ascii="仿宋" w:hAnsi="仿宋" w:eastAsia="仿宋" w:cs="宋体"/>
                <w:bCs/>
                <w:szCs w:val="21"/>
              </w:rPr>
              <w:t>1、调出资金</w:t>
            </w:r>
          </w:p>
        </w:tc>
        <w:tc>
          <w:tcPr>
            <w:tcW w:w="1325" w:type="dxa"/>
            <w:shd w:val="clear" w:color="auto" w:fill="auto"/>
            <w:vAlign w:val="bottom"/>
          </w:tcPr>
          <w:p>
            <w:pPr>
              <w:spacing w:line="280" w:lineRule="exact"/>
              <w:ind w:firstLine="315" w:firstLineChars="150"/>
              <w:rPr>
                <w:rFonts w:ascii="仿宋" w:hAnsi="仿宋" w:eastAsia="仿宋" w:cs="宋体"/>
                <w:szCs w:val="21"/>
              </w:rPr>
            </w:pPr>
            <w:r>
              <w:rPr>
                <w:rFonts w:hint="eastAsia" w:ascii="仿宋" w:hAnsi="仿宋" w:eastAsia="仿宋" w:cs="宋体"/>
                <w:szCs w:val="21"/>
              </w:rPr>
              <w:t>243000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255" w:hRule="atLeast"/>
          <w:jc w:val="center"/>
        </w:trPr>
        <w:tc>
          <w:tcPr>
            <w:tcW w:w="3576" w:type="dxa"/>
            <w:shd w:val="clear" w:color="auto" w:fill="auto"/>
            <w:vAlign w:val="bottom"/>
          </w:tcPr>
          <w:p>
            <w:pPr>
              <w:spacing w:line="280" w:lineRule="exact"/>
              <w:rPr>
                <w:rFonts w:ascii="仿宋" w:hAnsi="仿宋" w:eastAsia="仿宋" w:cs="宋体"/>
                <w:szCs w:val="21"/>
              </w:rPr>
            </w:pPr>
            <w:r>
              <w:rPr>
                <w:rFonts w:hint="eastAsia" w:ascii="仿宋" w:hAnsi="仿宋" w:eastAsia="仿宋" w:cs="宋体"/>
                <w:szCs w:val="21"/>
              </w:rPr>
              <w:t>三、上级补助转移支付收入</w:t>
            </w:r>
          </w:p>
        </w:tc>
        <w:tc>
          <w:tcPr>
            <w:tcW w:w="1325" w:type="dxa"/>
            <w:shd w:val="clear" w:color="auto" w:fill="auto"/>
            <w:vAlign w:val="bottom"/>
          </w:tcPr>
          <w:p>
            <w:pPr>
              <w:spacing w:line="280" w:lineRule="exact"/>
              <w:jc w:val="center"/>
              <w:rPr>
                <w:rFonts w:ascii="仿宋" w:hAnsi="仿宋" w:eastAsia="仿宋" w:cs="宋体"/>
                <w:szCs w:val="21"/>
              </w:rPr>
            </w:pPr>
            <w:r>
              <w:rPr>
                <w:rFonts w:hint="eastAsia" w:ascii="仿宋" w:hAnsi="仿宋" w:eastAsia="仿宋" w:cs="宋体"/>
                <w:szCs w:val="21"/>
              </w:rPr>
              <w:t>247235</w:t>
            </w:r>
          </w:p>
        </w:tc>
        <w:tc>
          <w:tcPr>
            <w:tcW w:w="3249" w:type="dxa"/>
            <w:shd w:val="clear" w:color="auto" w:fill="auto"/>
            <w:vAlign w:val="bottom"/>
          </w:tcPr>
          <w:p>
            <w:pPr>
              <w:spacing w:line="280" w:lineRule="exact"/>
              <w:ind w:firstLine="315" w:firstLineChars="150"/>
              <w:rPr>
                <w:rFonts w:ascii="仿宋" w:hAnsi="仿宋" w:eastAsia="仿宋" w:cs="宋体"/>
                <w:szCs w:val="21"/>
              </w:rPr>
            </w:pPr>
          </w:p>
        </w:tc>
        <w:tc>
          <w:tcPr>
            <w:tcW w:w="1325" w:type="dxa"/>
            <w:shd w:val="clear" w:color="auto" w:fill="auto"/>
            <w:vAlign w:val="bottom"/>
          </w:tcPr>
          <w:p>
            <w:pPr>
              <w:spacing w:line="280" w:lineRule="exact"/>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95" w:hRule="atLeast"/>
          <w:jc w:val="center"/>
        </w:trPr>
        <w:tc>
          <w:tcPr>
            <w:tcW w:w="3576" w:type="dxa"/>
            <w:shd w:val="clear" w:color="auto" w:fill="auto"/>
            <w:vAlign w:val="bottom"/>
          </w:tcPr>
          <w:p>
            <w:pPr>
              <w:spacing w:line="280" w:lineRule="exact"/>
              <w:rPr>
                <w:rFonts w:ascii="仿宋" w:hAnsi="仿宋" w:eastAsia="仿宋" w:cs="宋体"/>
                <w:szCs w:val="21"/>
              </w:rPr>
            </w:pPr>
          </w:p>
        </w:tc>
        <w:tc>
          <w:tcPr>
            <w:tcW w:w="1325" w:type="dxa"/>
            <w:shd w:val="clear" w:color="auto" w:fill="auto"/>
            <w:vAlign w:val="bottom"/>
          </w:tcPr>
          <w:p>
            <w:pPr>
              <w:spacing w:line="280" w:lineRule="exact"/>
              <w:jc w:val="center"/>
              <w:rPr>
                <w:rFonts w:ascii="仿宋" w:hAnsi="仿宋" w:eastAsia="仿宋" w:cs="宋体"/>
                <w:szCs w:val="21"/>
              </w:rPr>
            </w:pPr>
          </w:p>
        </w:tc>
        <w:tc>
          <w:tcPr>
            <w:tcW w:w="3249" w:type="dxa"/>
            <w:shd w:val="clear" w:color="auto" w:fill="auto"/>
            <w:vAlign w:val="bottom"/>
          </w:tcPr>
          <w:p>
            <w:pPr>
              <w:spacing w:line="280" w:lineRule="exact"/>
              <w:rPr>
                <w:rFonts w:ascii="仿宋" w:hAnsi="仿宋" w:eastAsia="仿宋" w:cs="宋体"/>
                <w:szCs w:val="21"/>
              </w:rPr>
            </w:pPr>
          </w:p>
        </w:tc>
        <w:tc>
          <w:tcPr>
            <w:tcW w:w="1325" w:type="dxa"/>
            <w:shd w:val="clear" w:color="auto" w:fill="auto"/>
            <w:vAlign w:val="bottom"/>
          </w:tcPr>
          <w:p>
            <w:pPr>
              <w:spacing w:line="280" w:lineRule="exact"/>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255" w:hRule="atLeast"/>
          <w:jc w:val="center"/>
        </w:trPr>
        <w:tc>
          <w:tcPr>
            <w:tcW w:w="3576" w:type="dxa"/>
            <w:shd w:val="clear" w:color="auto" w:fill="auto"/>
            <w:vAlign w:val="bottom"/>
          </w:tcPr>
          <w:p>
            <w:pPr>
              <w:spacing w:line="280" w:lineRule="exact"/>
              <w:jc w:val="center"/>
              <w:rPr>
                <w:rFonts w:ascii="仿宋" w:hAnsi="仿宋" w:eastAsia="仿宋" w:cs="宋体"/>
                <w:b/>
                <w:bCs/>
                <w:szCs w:val="21"/>
              </w:rPr>
            </w:pPr>
            <w:r>
              <w:rPr>
                <w:rFonts w:hint="eastAsia" w:ascii="仿宋" w:hAnsi="仿宋" w:eastAsia="仿宋" w:cs="宋体"/>
                <w:b/>
                <w:bCs/>
                <w:szCs w:val="21"/>
              </w:rPr>
              <w:t>政府性基金预算收入合计</w:t>
            </w:r>
          </w:p>
        </w:tc>
        <w:tc>
          <w:tcPr>
            <w:tcW w:w="1325" w:type="dxa"/>
            <w:shd w:val="clear" w:color="auto" w:fill="auto"/>
            <w:vAlign w:val="center"/>
          </w:tcPr>
          <w:p>
            <w:pPr>
              <w:spacing w:line="280" w:lineRule="exact"/>
              <w:jc w:val="center"/>
              <w:rPr>
                <w:rFonts w:ascii="仿宋" w:hAnsi="仿宋" w:eastAsia="仿宋" w:cs="宋体"/>
                <w:szCs w:val="21"/>
              </w:rPr>
            </w:pPr>
            <w:r>
              <w:rPr>
                <w:rFonts w:hint="eastAsia" w:ascii="仿宋" w:hAnsi="仿宋" w:eastAsia="仿宋" w:cs="宋体"/>
                <w:szCs w:val="21"/>
              </w:rPr>
              <w:t>271210</w:t>
            </w:r>
          </w:p>
        </w:tc>
        <w:tc>
          <w:tcPr>
            <w:tcW w:w="3249" w:type="dxa"/>
            <w:shd w:val="clear" w:color="auto" w:fill="auto"/>
            <w:vAlign w:val="bottom"/>
          </w:tcPr>
          <w:p>
            <w:pPr>
              <w:spacing w:line="280" w:lineRule="exact"/>
              <w:jc w:val="center"/>
              <w:rPr>
                <w:rFonts w:ascii="仿宋" w:hAnsi="仿宋" w:eastAsia="仿宋" w:cs="宋体"/>
                <w:b/>
                <w:bCs/>
                <w:szCs w:val="21"/>
              </w:rPr>
            </w:pPr>
            <w:r>
              <w:rPr>
                <w:rFonts w:hint="eastAsia" w:ascii="仿宋" w:hAnsi="仿宋" w:eastAsia="仿宋" w:cs="宋体"/>
                <w:b/>
                <w:bCs/>
                <w:szCs w:val="21"/>
              </w:rPr>
              <w:t>政府性基金支出预算合计</w:t>
            </w:r>
          </w:p>
        </w:tc>
        <w:tc>
          <w:tcPr>
            <w:tcW w:w="1325" w:type="dxa"/>
            <w:shd w:val="clear" w:color="auto" w:fill="auto"/>
            <w:vAlign w:val="center"/>
          </w:tcPr>
          <w:p>
            <w:pPr>
              <w:spacing w:line="280" w:lineRule="exact"/>
              <w:jc w:val="center"/>
              <w:rPr>
                <w:rFonts w:ascii="仿宋" w:hAnsi="仿宋" w:eastAsia="仿宋" w:cs="宋体"/>
                <w:szCs w:val="21"/>
              </w:rPr>
            </w:pPr>
            <w:r>
              <w:rPr>
                <w:rFonts w:hint="eastAsia" w:ascii="仿宋" w:hAnsi="仿宋" w:eastAsia="仿宋" w:cs="宋体"/>
                <w:szCs w:val="21"/>
              </w:rPr>
              <w:t>265610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255" w:hRule="atLeast"/>
          <w:jc w:val="center"/>
        </w:trPr>
        <w:tc>
          <w:tcPr>
            <w:tcW w:w="3576" w:type="dxa"/>
            <w:shd w:val="clear" w:color="auto" w:fill="auto"/>
            <w:vAlign w:val="bottom"/>
          </w:tcPr>
          <w:p>
            <w:pPr>
              <w:spacing w:line="280" w:lineRule="exact"/>
              <w:jc w:val="center"/>
              <w:rPr>
                <w:rFonts w:ascii="仿宋" w:hAnsi="仿宋" w:eastAsia="仿宋" w:cs="宋体"/>
                <w:b/>
                <w:bCs/>
                <w:szCs w:val="21"/>
              </w:rPr>
            </w:pPr>
          </w:p>
        </w:tc>
        <w:tc>
          <w:tcPr>
            <w:tcW w:w="1325" w:type="dxa"/>
            <w:shd w:val="clear" w:color="auto" w:fill="auto"/>
            <w:vAlign w:val="center"/>
          </w:tcPr>
          <w:p>
            <w:pPr>
              <w:spacing w:line="280" w:lineRule="exact"/>
              <w:jc w:val="center"/>
              <w:rPr>
                <w:rFonts w:ascii="仿宋" w:hAnsi="仿宋" w:eastAsia="仿宋" w:cs="宋体"/>
                <w:szCs w:val="21"/>
              </w:rPr>
            </w:pPr>
          </w:p>
        </w:tc>
        <w:tc>
          <w:tcPr>
            <w:tcW w:w="3249" w:type="dxa"/>
            <w:shd w:val="clear" w:color="auto" w:fill="auto"/>
            <w:vAlign w:val="bottom"/>
          </w:tcPr>
          <w:p>
            <w:pPr>
              <w:spacing w:line="280" w:lineRule="exact"/>
              <w:jc w:val="center"/>
              <w:rPr>
                <w:rFonts w:ascii="仿宋" w:hAnsi="仿宋" w:eastAsia="仿宋" w:cs="宋体"/>
                <w:b/>
                <w:bCs/>
                <w:szCs w:val="21"/>
              </w:rPr>
            </w:pPr>
            <w:r>
              <w:rPr>
                <w:rFonts w:hint="eastAsia" w:ascii="仿宋" w:hAnsi="仿宋" w:eastAsia="仿宋" w:cs="宋体"/>
                <w:b/>
                <w:bCs/>
                <w:szCs w:val="21"/>
              </w:rPr>
              <w:t>上解市级支出</w:t>
            </w:r>
          </w:p>
        </w:tc>
        <w:tc>
          <w:tcPr>
            <w:tcW w:w="1325" w:type="dxa"/>
            <w:shd w:val="clear" w:color="auto" w:fill="auto"/>
            <w:vAlign w:val="center"/>
          </w:tcPr>
          <w:p>
            <w:pPr>
              <w:spacing w:line="280" w:lineRule="exact"/>
              <w:jc w:val="center"/>
              <w:rPr>
                <w:rFonts w:ascii="仿宋" w:hAnsi="仿宋" w:eastAsia="仿宋" w:cs="宋体"/>
                <w:szCs w:val="21"/>
              </w:rPr>
            </w:pPr>
            <w:r>
              <w:rPr>
                <w:rFonts w:hint="eastAsia" w:ascii="仿宋" w:hAnsi="仿宋" w:eastAsia="仿宋" w:cs="宋体"/>
                <w:szCs w:val="21"/>
              </w:rPr>
              <w:t>5600</w:t>
            </w:r>
          </w:p>
        </w:tc>
      </w:tr>
    </w:tbl>
    <w:p>
      <w:pPr>
        <w:spacing w:line="580" w:lineRule="exact"/>
        <w:jc w:val="center"/>
        <w:rPr>
          <w:rFonts w:ascii="仿宋" w:hAnsi="仿宋" w:eastAsia="仿宋"/>
          <w:sz w:val="44"/>
          <w:szCs w:val="44"/>
        </w:rPr>
      </w:pPr>
    </w:p>
    <w:p>
      <w:pPr>
        <w:spacing w:line="580" w:lineRule="exact"/>
        <w:jc w:val="center"/>
        <w:rPr>
          <w:rFonts w:ascii="仿宋" w:hAnsi="仿宋" w:eastAsia="仿宋"/>
          <w:sz w:val="44"/>
          <w:szCs w:val="44"/>
        </w:rPr>
      </w:pPr>
    </w:p>
    <w:p>
      <w:pPr>
        <w:spacing w:line="580" w:lineRule="exact"/>
        <w:rPr>
          <w:rFonts w:ascii="仿宋" w:hAnsi="仿宋" w:eastAsia="仿宋"/>
          <w:sz w:val="44"/>
          <w:szCs w:val="44"/>
        </w:rPr>
      </w:pPr>
    </w:p>
    <w:p>
      <w:pPr>
        <w:spacing w:line="580" w:lineRule="exact"/>
        <w:rPr>
          <w:rFonts w:ascii="仿宋" w:hAnsi="仿宋" w:eastAsia="仿宋"/>
          <w:sz w:val="44"/>
          <w:szCs w:val="44"/>
        </w:rPr>
      </w:pPr>
    </w:p>
    <w:p>
      <w:pPr>
        <w:spacing w:line="580" w:lineRule="exact"/>
        <w:rPr>
          <w:rFonts w:ascii="仿宋" w:hAnsi="仿宋" w:eastAsia="仿宋"/>
          <w:sz w:val="44"/>
          <w:szCs w:val="44"/>
        </w:rPr>
      </w:pPr>
    </w:p>
    <w:p>
      <w:pPr>
        <w:spacing w:line="580" w:lineRule="exact"/>
        <w:rPr>
          <w:rFonts w:ascii="仿宋" w:hAnsi="仿宋" w:eastAsia="仿宋"/>
          <w:sz w:val="44"/>
          <w:szCs w:val="44"/>
        </w:rPr>
      </w:pPr>
    </w:p>
    <w:p>
      <w:pPr>
        <w:spacing w:line="580" w:lineRule="exact"/>
        <w:rPr>
          <w:rFonts w:ascii="仿宋" w:hAnsi="仿宋" w:eastAsia="仿宋"/>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right="44" w:firstLine="1325" w:firstLineChars="300"/>
        <w:rPr>
          <w:rFonts w:ascii="仿宋" w:hAnsi="仿宋" w:eastAsia="仿宋"/>
          <w:b/>
          <w:sz w:val="44"/>
          <w:szCs w:val="44"/>
        </w:rPr>
      </w:pPr>
    </w:p>
    <w:p>
      <w:pPr>
        <w:spacing w:line="580" w:lineRule="exact"/>
        <w:ind w:right="44" w:firstLine="1325" w:firstLineChars="300"/>
        <w:rPr>
          <w:rFonts w:ascii="仿宋" w:hAnsi="仿宋" w:eastAsia="仿宋"/>
          <w:b/>
          <w:sz w:val="44"/>
          <w:szCs w:val="44"/>
        </w:rPr>
      </w:pPr>
    </w:p>
    <w:p>
      <w:pPr>
        <w:spacing w:line="580" w:lineRule="exact"/>
        <w:ind w:right="44" w:firstLine="1325" w:firstLineChars="300"/>
        <w:rPr>
          <w:rFonts w:ascii="仿宋" w:hAnsi="仿宋" w:eastAsia="仿宋"/>
          <w:b/>
          <w:sz w:val="44"/>
          <w:szCs w:val="44"/>
        </w:rPr>
      </w:pPr>
      <w:r>
        <w:rPr>
          <w:rFonts w:hint="eastAsia" w:ascii="仿宋" w:hAnsi="仿宋" w:eastAsia="仿宋"/>
          <w:b/>
          <w:sz w:val="44"/>
          <w:szCs w:val="44"/>
        </w:rPr>
        <w:t xml:space="preserve">§2 </w:t>
      </w:r>
      <w:r>
        <w:rPr>
          <w:rFonts w:hint="eastAsia" w:ascii="仿宋" w:hAnsi="仿宋" w:eastAsia="仿宋" w:cs="宋体"/>
          <w:b/>
          <w:sz w:val="44"/>
          <w:szCs w:val="44"/>
        </w:rPr>
        <w:t>2019年政府性基金支出预算</w:t>
      </w:r>
    </w:p>
    <w:p>
      <w:pPr>
        <w:spacing w:line="580" w:lineRule="exact"/>
        <w:ind w:firstLine="482" w:firstLineChars="200"/>
        <w:rPr>
          <w:rFonts w:ascii="仿宋" w:hAnsi="仿宋" w:eastAsia="仿宋"/>
          <w:b/>
          <w:sz w:val="24"/>
        </w:rPr>
      </w:pPr>
      <w:r>
        <w:rPr>
          <w:rFonts w:hint="eastAsia" w:ascii="仿宋" w:hAnsi="仿宋" w:eastAsia="仿宋"/>
          <w:b/>
          <w:sz w:val="24"/>
        </w:rPr>
        <w:t>单位：万元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276"/>
        <w:gridCol w:w="117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b/>
                <w:sz w:val="24"/>
              </w:rPr>
            </w:pPr>
            <w:r>
              <w:rPr>
                <w:rFonts w:hint="eastAsia" w:ascii="仿宋" w:hAnsi="仿宋" w:eastAsia="仿宋" w:cs="宋体"/>
                <w:sz w:val="24"/>
              </w:rPr>
              <w:t>科目编码及名称</w:t>
            </w:r>
          </w:p>
        </w:tc>
        <w:tc>
          <w:tcPr>
            <w:tcW w:w="1276" w:type="dxa"/>
          </w:tcPr>
          <w:p>
            <w:pPr>
              <w:spacing w:line="580" w:lineRule="exact"/>
              <w:jc w:val="center"/>
              <w:rPr>
                <w:rFonts w:ascii="仿宋" w:hAnsi="仿宋" w:eastAsia="仿宋"/>
                <w:sz w:val="24"/>
              </w:rPr>
            </w:pPr>
            <w:r>
              <w:rPr>
                <w:rFonts w:hint="eastAsia" w:ascii="仿宋" w:hAnsi="仿宋" w:eastAsia="仿宋"/>
                <w:sz w:val="24"/>
              </w:rPr>
              <w:t>合计</w:t>
            </w:r>
          </w:p>
        </w:tc>
        <w:tc>
          <w:tcPr>
            <w:tcW w:w="1176" w:type="dxa"/>
          </w:tcPr>
          <w:p>
            <w:pPr>
              <w:spacing w:line="580" w:lineRule="exact"/>
              <w:jc w:val="center"/>
              <w:rPr>
                <w:rFonts w:ascii="仿宋" w:hAnsi="仿宋" w:eastAsia="仿宋"/>
                <w:sz w:val="24"/>
              </w:rPr>
            </w:pPr>
            <w:r>
              <w:rPr>
                <w:rFonts w:hint="eastAsia" w:ascii="仿宋" w:hAnsi="仿宋" w:eastAsia="仿宋"/>
                <w:sz w:val="24"/>
              </w:rPr>
              <w:t>本级部门支出</w:t>
            </w:r>
          </w:p>
        </w:tc>
        <w:tc>
          <w:tcPr>
            <w:tcW w:w="1705" w:type="dxa"/>
          </w:tcPr>
          <w:p>
            <w:pPr>
              <w:spacing w:line="580" w:lineRule="exact"/>
              <w:jc w:val="center"/>
              <w:rPr>
                <w:rFonts w:ascii="仿宋" w:hAnsi="仿宋" w:eastAsia="仿宋"/>
                <w:sz w:val="24"/>
              </w:rPr>
            </w:pPr>
            <w:r>
              <w:rPr>
                <w:rFonts w:hint="eastAsia" w:ascii="仿宋" w:hAnsi="仿宋" w:eastAsia="仿宋"/>
                <w:sz w:val="24"/>
              </w:rPr>
              <w:t>上级转移支付</w:t>
            </w:r>
          </w:p>
        </w:tc>
        <w:tc>
          <w:tcPr>
            <w:tcW w:w="1705" w:type="dxa"/>
          </w:tcPr>
          <w:p>
            <w:pPr>
              <w:spacing w:line="580" w:lineRule="exact"/>
              <w:jc w:val="center"/>
              <w:rPr>
                <w:rFonts w:ascii="仿宋" w:hAnsi="仿宋" w:eastAsia="仿宋"/>
                <w:sz w:val="24"/>
              </w:rPr>
            </w:pPr>
            <w:r>
              <w:rPr>
                <w:rFonts w:hint="eastAsia" w:ascii="仿宋" w:hAnsi="仿宋" w:eastAsia="仿宋"/>
                <w:sz w:val="24"/>
              </w:rPr>
              <w:t>上年结转转移支付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206科学技术支出</w:t>
            </w:r>
          </w:p>
        </w:tc>
        <w:tc>
          <w:tcPr>
            <w:tcW w:w="1276" w:type="dxa"/>
          </w:tcPr>
          <w:p>
            <w:pPr>
              <w:spacing w:line="580" w:lineRule="exact"/>
              <w:jc w:val="center"/>
              <w:rPr>
                <w:rFonts w:ascii="仿宋" w:hAnsi="仿宋" w:eastAsia="仿宋"/>
                <w:b/>
                <w:szCs w:val="21"/>
              </w:rPr>
            </w:pPr>
          </w:p>
        </w:tc>
        <w:tc>
          <w:tcPr>
            <w:tcW w:w="1176" w:type="dxa"/>
          </w:tcPr>
          <w:p>
            <w:pPr>
              <w:spacing w:line="580" w:lineRule="exact"/>
              <w:jc w:val="center"/>
              <w:rPr>
                <w:rFonts w:ascii="仿宋" w:hAnsi="仿宋" w:eastAsia="仿宋"/>
                <w:b/>
                <w:szCs w:val="21"/>
              </w:rPr>
            </w:pPr>
          </w:p>
        </w:tc>
        <w:tc>
          <w:tcPr>
            <w:tcW w:w="1705" w:type="dxa"/>
          </w:tcPr>
          <w:p>
            <w:pPr>
              <w:spacing w:line="580" w:lineRule="exact"/>
              <w:jc w:val="center"/>
              <w:rPr>
                <w:rFonts w:ascii="仿宋" w:hAnsi="仿宋" w:eastAsia="仿宋"/>
                <w:b/>
                <w:szCs w:val="21"/>
              </w:rPr>
            </w:pPr>
          </w:p>
        </w:tc>
        <w:tc>
          <w:tcPr>
            <w:tcW w:w="1705" w:type="dxa"/>
          </w:tcPr>
          <w:p>
            <w:pPr>
              <w:spacing w:line="580" w:lineRule="exact"/>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207文化体育与传媒支出</w:t>
            </w:r>
          </w:p>
        </w:tc>
        <w:tc>
          <w:tcPr>
            <w:tcW w:w="1276" w:type="dxa"/>
          </w:tcPr>
          <w:p>
            <w:pPr>
              <w:spacing w:line="580" w:lineRule="exact"/>
              <w:jc w:val="center"/>
              <w:rPr>
                <w:rFonts w:ascii="仿宋" w:hAnsi="仿宋" w:eastAsia="仿宋"/>
                <w:szCs w:val="21"/>
              </w:rPr>
            </w:pP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208社会保障和就业支出</w:t>
            </w:r>
          </w:p>
        </w:tc>
        <w:tc>
          <w:tcPr>
            <w:tcW w:w="1276" w:type="dxa"/>
          </w:tcPr>
          <w:p>
            <w:pPr>
              <w:spacing w:line="580" w:lineRule="exact"/>
              <w:jc w:val="center"/>
              <w:rPr>
                <w:rFonts w:ascii="仿宋" w:hAnsi="仿宋" w:eastAsia="仿宋"/>
                <w:szCs w:val="21"/>
              </w:rPr>
            </w:pPr>
            <w:r>
              <w:rPr>
                <w:rFonts w:hint="eastAsia" w:ascii="仿宋" w:hAnsi="仿宋" w:eastAsia="仿宋"/>
                <w:szCs w:val="21"/>
              </w:rPr>
              <w:t>102</w:t>
            </w: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r>
              <w:rPr>
                <w:rFonts w:hint="eastAsia" w:ascii="仿宋" w:hAnsi="仿宋" w:eastAsia="仿宋"/>
                <w:szCs w:val="21"/>
              </w:rPr>
              <w:t>3</w:t>
            </w:r>
          </w:p>
        </w:tc>
        <w:tc>
          <w:tcPr>
            <w:tcW w:w="1705" w:type="dxa"/>
          </w:tcPr>
          <w:p>
            <w:pPr>
              <w:spacing w:line="580" w:lineRule="exact"/>
              <w:jc w:val="center"/>
              <w:rPr>
                <w:rFonts w:ascii="仿宋" w:hAnsi="仿宋" w:eastAsia="仿宋"/>
                <w:szCs w:val="21"/>
              </w:rPr>
            </w:pPr>
            <w:r>
              <w:rPr>
                <w:rFonts w:hint="eastAsia" w:ascii="仿宋" w:hAnsi="仿宋" w:eastAsia="仿宋"/>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211节能环保支出</w:t>
            </w:r>
          </w:p>
        </w:tc>
        <w:tc>
          <w:tcPr>
            <w:tcW w:w="1276" w:type="dxa"/>
          </w:tcPr>
          <w:p>
            <w:pPr>
              <w:spacing w:line="580" w:lineRule="exact"/>
              <w:jc w:val="center"/>
              <w:rPr>
                <w:rFonts w:ascii="仿宋" w:hAnsi="仿宋" w:eastAsia="仿宋"/>
                <w:szCs w:val="21"/>
              </w:rPr>
            </w:pP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212城乡社区支出</w:t>
            </w:r>
          </w:p>
        </w:tc>
        <w:tc>
          <w:tcPr>
            <w:tcW w:w="1276" w:type="dxa"/>
          </w:tcPr>
          <w:p>
            <w:pPr>
              <w:spacing w:line="580" w:lineRule="exact"/>
              <w:jc w:val="center"/>
              <w:rPr>
                <w:rFonts w:ascii="仿宋" w:hAnsi="仿宋" w:eastAsia="仿宋"/>
                <w:szCs w:val="21"/>
              </w:rPr>
            </w:pPr>
            <w:r>
              <w:rPr>
                <w:rFonts w:hint="eastAsia" w:ascii="仿宋" w:hAnsi="仿宋" w:eastAsia="仿宋"/>
                <w:szCs w:val="21"/>
              </w:rPr>
              <w:t>18100</w:t>
            </w:r>
          </w:p>
        </w:tc>
        <w:tc>
          <w:tcPr>
            <w:tcW w:w="1176" w:type="dxa"/>
          </w:tcPr>
          <w:p>
            <w:pPr>
              <w:spacing w:line="580" w:lineRule="exact"/>
              <w:jc w:val="center"/>
              <w:rPr>
                <w:rFonts w:ascii="仿宋" w:hAnsi="仿宋" w:eastAsia="仿宋"/>
                <w:szCs w:val="21"/>
              </w:rPr>
            </w:pPr>
            <w:r>
              <w:rPr>
                <w:rFonts w:hint="eastAsia" w:ascii="仿宋" w:hAnsi="仿宋" w:eastAsia="仿宋"/>
                <w:szCs w:val="21"/>
              </w:rPr>
              <w:t>400</w:t>
            </w: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r>
              <w:rPr>
                <w:rFonts w:hint="eastAsia" w:ascii="仿宋" w:hAnsi="仿宋" w:eastAsia="仿宋"/>
                <w:szCs w:val="21"/>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213农林水支出</w:t>
            </w:r>
          </w:p>
        </w:tc>
        <w:tc>
          <w:tcPr>
            <w:tcW w:w="1276" w:type="dxa"/>
          </w:tcPr>
          <w:p>
            <w:pPr>
              <w:spacing w:line="580" w:lineRule="exact"/>
              <w:jc w:val="center"/>
              <w:rPr>
                <w:rFonts w:ascii="仿宋" w:hAnsi="仿宋" w:eastAsia="仿宋"/>
                <w:szCs w:val="21"/>
              </w:rPr>
            </w:pP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214交通运输支出</w:t>
            </w:r>
          </w:p>
        </w:tc>
        <w:tc>
          <w:tcPr>
            <w:tcW w:w="1276" w:type="dxa"/>
          </w:tcPr>
          <w:p>
            <w:pPr>
              <w:spacing w:line="580" w:lineRule="exact"/>
              <w:jc w:val="center"/>
              <w:rPr>
                <w:rFonts w:ascii="仿宋" w:hAnsi="仿宋" w:eastAsia="仿宋"/>
                <w:szCs w:val="21"/>
              </w:rPr>
            </w:pP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215资源勘探信息等支出</w:t>
            </w:r>
          </w:p>
        </w:tc>
        <w:tc>
          <w:tcPr>
            <w:tcW w:w="1276" w:type="dxa"/>
          </w:tcPr>
          <w:p>
            <w:pPr>
              <w:spacing w:line="580" w:lineRule="exact"/>
              <w:jc w:val="center"/>
              <w:rPr>
                <w:rFonts w:ascii="仿宋" w:hAnsi="仿宋" w:eastAsia="仿宋"/>
                <w:szCs w:val="21"/>
              </w:rPr>
            </w:pP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216商品服务业等支出</w:t>
            </w:r>
          </w:p>
        </w:tc>
        <w:tc>
          <w:tcPr>
            <w:tcW w:w="1276" w:type="dxa"/>
          </w:tcPr>
          <w:p>
            <w:pPr>
              <w:spacing w:line="580" w:lineRule="exact"/>
              <w:jc w:val="center"/>
              <w:rPr>
                <w:rFonts w:ascii="仿宋" w:hAnsi="仿宋" w:eastAsia="仿宋"/>
                <w:szCs w:val="21"/>
              </w:rPr>
            </w:pP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217金融支出</w:t>
            </w:r>
          </w:p>
        </w:tc>
        <w:tc>
          <w:tcPr>
            <w:tcW w:w="1276" w:type="dxa"/>
          </w:tcPr>
          <w:p>
            <w:pPr>
              <w:spacing w:line="580" w:lineRule="exact"/>
              <w:jc w:val="center"/>
              <w:rPr>
                <w:rFonts w:ascii="仿宋" w:hAnsi="仿宋" w:eastAsia="仿宋"/>
                <w:szCs w:val="21"/>
              </w:rPr>
            </w:pP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229其他支出</w:t>
            </w:r>
          </w:p>
        </w:tc>
        <w:tc>
          <w:tcPr>
            <w:tcW w:w="1276" w:type="dxa"/>
          </w:tcPr>
          <w:p>
            <w:pPr>
              <w:spacing w:line="580" w:lineRule="exact"/>
              <w:jc w:val="center"/>
              <w:rPr>
                <w:rFonts w:ascii="仿宋" w:hAnsi="仿宋" w:eastAsia="仿宋"/>
                <w:szCs w:val="21"/>
              </w:rPr>
            </w:pPr>
            <w:r>
              <w:rPr>
                <w:rFonts w:hint="eastAsia" w:ascii="仿宋" w:hAnsi="仿宋" w:eastAsia="仿宋"/>
                <w:szCs w:val="21"/>
              </w:rPr>
              <w:t>408</w:t>
            </w: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r>
              <w:rPr>
                <w:rFonts w:hint="eastAsia" w:ascii="仿宋" w:hAnsi="仿宋" w:eastAsia="仿宋"/>
                <w:szCs w:val="21"/>
              </w:rPr>
              <w:t>232</w:t>
            </w:r>
          </w:p>
        </w:tc>
        <w:tc>
          <w:tcPr>
            <w:tcW w:w="1705" w:type="dxa"/>
          </w:tcPr>
          <w:p>
            <w:pPr>
              <w:spacing w:line="580" w:lineRule="exact"/>
              <w:jc w:val="center"/>
              <w:rPr>
                <w:rFonts w:ascii="仿宋" w:hAnsi="仿宋" w:eastAsia="仿宋"/>
                <w:szCs w:val="21"/>
              </w:rPr>
            </w:pPr>
            <w:r>
              <w:rPr>
                <w:rFonts w:hint="eastAsia" w:ascii="仿宋" w:hAnsi="仿宋" w:eastAsia="仿宋"/>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232债务付息支出</w:t>
            </w:r>
          </w:p>
        </w:tc>
        <w:tc>
          <w:tcPr>
            <w:tcW w:w="1276" w:type="dxa"/>
          </w:tcPr>
          <w:p>
            <w:pPr>
              <w:spacing w:line="580" w:lineRule="exact"/>
              <w:jc w:val="center"/>
              <w:rPr>
                <w:rFonts w:ascii="仿宋" w:hAnsi="仿宋" w:eastAsia="仿宋"/>
                <w:szCs w:val="21"/>
              </w:rPr>
            </w:pPr>
            <w:r>
              <w:rPr>
                <w:rFonts w:hint="eastAsia" w:ascii="仿宋" w:hAnsi="仿宋" w:eastAsia="仿宋"/>
                <w:szCs w:val="21"/>
              </w:rPr>
              <w:t>4000</w:t>
            </w: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r>
              <w:rPr>
                <w:rFonts w:hint="eastAsia" w:ascii="仿宋" w:hAnsi="仿宋" w:eastAsia="仿宋"/>
                <w:szCs w:val="21"/>
              </w:rPr>
              <w:t>4000</w:t>
            </w: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转移性支出</w:t>
            </w:r>
          </w:p>
        </w:tc>
        <w:tc>
          <w:tcPr>
            <w:tcW w:w="1276" w:type="dxa"/>
          </w:tcPr>
          <w:p>
            <w:pPr>
              <w:spacing w:line="580" w:lineRule="exact"/>
              <w:jc w:val="center"/>
              <w:rPr>
                <w:rFonts w:ascii="仿宋" w:hAnsi="仿宋" w:eastAsia="仿宋"/>
                <w:szCs w:val="21"/>
              </w:rPr>
            </w:pPr>
            <w:r>
              <w:rPr>
                <w:rFonts w:hint="eastAsia" w:ascii="仿宋" w:hAnsi="仿宋" w:eastAsia="仿宋"/>
                <w:szCs w:val="21"/>
              </w:rPr>
              <w:t>243000</w:t>
            </w:r>
          </w:p>
        </w:tc>
        <w:tc>
          <w:tcPr>
            <w:tcW w:w="1176" w:type="dxa"/>
          </w:tcPr>
          <w:p>
            <w:pPr>
              <w:spacing w:line="580" w:lineRule="exact"/>
              <w:jc w:val="center"/>
              <w:rPr>
                <w:rFonts w:ascii="仿宋" w:hAnsi="仿宋" w:eastAsia="仿宋"/>
                <w:szCs w:val="21"/>
              </w:rPr>
            </w:pPr>
          </w:p>
        </w:tc>
        <w:tc>
          <w:tcPr>
            <w:tcW w:w="1705" w:type="dxa"/>
          </w:tcPr>
          <w:p>
            <w:pPr>
              <w:spacing w:line="580" w:lineRule="exact"/>
              <w:jc w:val="center"/>
              <w:rPr>
                <w:rFonts w:ascii="仿宋" w:hAnsi="仿宋" w:eastAsia="仿宋"/>
                <w:szCs w:val="21"/>
              </w:rPr>
            </w:pPr>
            <w:r>
              <w:rPr>
                <w:rFonts w:hint="eastAsia" w:ascii="仿宋" w:hAnsi="仿宋" w:eastAsia="仿宋"/>
                <w:szCs w:val="21"/>
              </w:rPr>
              <w:t>243000</w:t>
            </w:r>
          </w:p>
        </w:tc>
        <w:tc>
          <w:tcPr>
            <w:tcW w:w="1705"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spacing w:line="580" w:lineRule="exact"/>
              <w:jc w:val="center"/>
              <w:rPr>
                <w:rFonts w:ascii="仿宋" w:hAnsi="仿宋" w:eastAsia="仿宋"/>
                <w:szCs w:val="21"/>
              </w:rPr>
            </w:pPr>
            <w:r>
              <w:rPr>
                <w:rFonts w:hint="eastAsia" w:ascii="仿宋" w:hAnsi="仿宋" w:eastAsia="仿宋"/>
                <w:szCs w:val="21"/>
              </w:rPr>
              <w:t>合计</w:t>
            </w:r>
          </w:p>
        </w:tc>
        <w:tc>
          <w:tcPr>
            <w:tcW w:w="1276" w:type="dxa"/>
          </w:tcPr>
          <w:p>
            <w:pPr>
              <w:spacing w:line="580" w:lineRule="exact"/>
              <w:jc w:val="center"/>
              <w:rPr>
                <w:rFonts w:ascii="仿宋" w:hAnsi="仿宋" w:eastAsia="仿宋"/>
                <w:szCs w:val="21"/>
              </w:rPr>
            </w:pPr>
            <w:r>
              <w:rPr>
                <w:rFonts w:hint="eastAsia" w:ascii="仿宋" w:hAnsi="仿宋" w:eastAsia="仿宋"/>
                <w:szCs w:val="21"/>
              </w:rPr>
              <w:t>265610</w:t>
            </w:r>
          </w:p>
        </w:tc>
        <w:tc>
          <w:tcPr>
            <w:tcW w:w="1176" w:type="dxa"/>
          </w:tcPr>
          <w:p>
            <w:pPr>
              <w:spacing w:line="580" w:lineRule="exact"/>
              <w:jc w:val="center"/>
              <w:rPr>
                <w:rFonts w:ascii="仿宋" w:hAnsi="仿宋" w:eastAsia="仿宋"/>
                <w:szCs w:val="21"/>
              </w:rPr>
            </w:pPr>
            <w:r>
              <w:rPr>
                <w:rFonts w:hint="eastAsia" w:ascii="仿宋" w:hAnsi="仿宋" w:eastAsia="仿宋"/>
                <w:szCs w:val="21"/>
              </w:rPr>
              <w:t>400</w:t>
            </w:r>
          </w:p>
        </w:tc>
        <w:tc>
          <w:tcPr>
            <w:tcW w:w="1705" w:type="dxa"/>
          </w:tcPr>
          <w:p>
            <w:pPr>
              <w:spacing w:line="580" w:lineRule="exact"/>
              <w:jc w:val="center"/>
              <w:rPr>
                <w:rFonts w:ascii="仿宋" w:hAnsi="仿宋" w:eastAsia="仿宋"/>
                <w:szCs w:val="21"/>
              </w:rPr>
            </w:pPr>
            <w:r>
              <w:rPr>
                <w:rFonts w:hint="eastAsia" w:ascii="仿宋" w:hAnsi="仿宋" w:eastAsia="仿宋"/>
                <w:szCs w:val="21"/>
              </w:rPr>
              <w:t>247235</w:t>
            </w:r>
          </w:p>
        </w:tc>
        <w:tc>
          <w:tcPr>
            <w:tcW w:w="1705" w:type="dxa"/>
          </w:tcPr>
          <w:p>
            <w:pPr>
              <w:spacing w:line="580" w:lineRule="exact"/>
              <w:jc w:val="center"/>
              <w:rPr>
                <w:rFonts w:ascii="仿宋" w:hAnsi="仿宋" w:eastAsia="仿宋"/>
                <w:szCs w:val="21"/>
              </w:rPr>
            </w:pPr>
            <w:r>
              <w:rPr>
                <w:rFonts w:hint="eastAsia" w:ascii="仿宋" w:hAnsi="仿宋" w:eastAsia="仿宋"/>
                <w:szCs w:val="21"/>
              </w:rPr>
              <w:t>17975</w:t>
            </w:r>
          </w:p>
        </w:tc>
      </w:tr>
    </w:tbl>
    <w:p>
      <w:pPr>
        <w:spacing w:line="580" w:lineRule="exact"/>
        <w:rPr>
          <w:rFonts w:ascii="仿宋" w:hAnsi="仿宋" w:eastAsia="仿宋"/>
          <w:b/>
          <w:sz w:val="24"/>
        </w:rPr>
      </w:pPr>
    </w:p>
    <w:p>
      <w:pPr>
        <w:spacing w:line="580" w:lineRule="exact"/>
        <w:ind w:firstLine="1928" w:firstLineChars="800"/>
        <w:rPr>
          <w:rFonts w:ascii="仿宋" w:hAnsi="仿宋" w:eastAsia="仿宋"/>
          <w:b/>
          <w:sz w:val="24"/>
        </w:rPr>
      </w:pPr>
    </w:p>
    <w:p>
      <w:pPr>
        <w:spacing w:line="580" w:lineRule="exact"/>
        <w:ind w:firstLine="1928" w:firstLineChars="800"/>
        <w:rPr>
          <w:rFonts w:ascii="仿宋" w:hAnsi="仿宋" w:eastAsia="仿宋"/>
          <w:b/>
          <w:sz w:val="24"/>
        </w:rPr>
      </w:pPr>
    </w:p>
    <w:p>
      <w:pPr>
        <w:spacing w:line="580" w:lineRule="exact"/>
        <w:ind w:firstLine="1928" w:firstLineChars="800"/>
        <w:rPr>
          <w:rFonts w:ascii="仿宋" w:hAnsi="仿宋" w:eastAsia="仿宋"/>
          <w:b/>
          <w:sz w:val="24"/>
        </w:rPr>
      </w:pPr>
    </w:p>
    <w:p>
      <w:pPr>
        <w:spacing w:line="580" w:lineRule="exact"/>
        <w:ind w:firstLine="1928" w:firstLineChars="800"/>
        <w:rPr>
          <w:rFonts w:ascii="仿宋" w:hAnsi="仿宋" w:eastAsia="仿宋"/>
          <w:b/>
          <w:sz w:val="24"/>
        </w:rPr>
      </w:pPr>
    </w:p>
    <w:p>
      <w:pPr>
        <w:spacing w:line="580" w:lineRule="exact"/>
        <w:rPr>
          <w:rFonts w:ascii="仿宋" w:hAnsi="仿宋" w:eastAsia="仿宋"/>
          <w:b/>
          <w:sz w:val="24"/>
        </w:rPr>
      </w:pPr>
    </w:p>
    <w:p>
      <w:pPr>
        <w:spacing w:line="580" w:lineRule="exact"/>
        <w:ind w:firstLine="1446" w:firstLineChars="450"/>
        <w:rPr>
          <w:rFonts w:ascii="仿宋" w:hAnsi="仿宋" w:eastAsia="仿宋"/>
          <w:b/>
          <w:sz w:val="32"/>
          <w:szCs w:val="32"/>
        </w:rPr>
      </w:pPr>
      <w:r>
        <w:rPr>
          <w:rFonts w:hint="eastAsia" w:ascii="仿宋" w:hAnsi="仿宋" w:eastAsia="仿宋"/>
          <w:b/>
          <w:sz w:val="32"/>
          <w:szCs w:val="32"/>
        </w:rPr>
        <w:t>2019年政府性基金预算支出功能分类表</w:t>
      </w:r>
    </w:p>
    <w:p>
      <w:pPr>
        <w:spacing w:line="580" w:lineRule="exact"/>
        <w:ind w:firstLine="1084" w:firstLineChars="450"/>
        <w:rPr>
          <w:rFonts w:ascii="仿宋" w:hAnsi="仿宋" w:eastAsia="仿宋"/>
          <w:b/>
          <w:sz w:val="24"/>
        </w:rPr>
      </w:pPr>
      <w:r>
        <w:rPr>
          <w:rFonts w:hint="eastAsia" w:ascii="仿宋" w:hAnsi="仿宋" w:eastAsia="仿宋"/>
          <w:b/>
          <w:sz w:val="24"/>
        </w:rPr>
        <w:t>单位：万元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80" w:lineRule="exact"/>
              <w:jc w:val="center"/>
              <w:rPr>
                <w:rFonts w:ascii="仿宋" w:hAnsi="仿宋" w:eastAsia="仿宋"/>
                <w:szCs w:val="21"/>
              </w:rPr>
            </w:pPr>
            <w:r>
              <w:rPr>
                <w:rFonts w:hint="eastAsia" w:ascii="仿宋" w:hAnsi="仿宋" w:eastAsia="仿宋"/>
                <w:szCs w:val="21"/>
              </w:rPr>
              <w:t>科目编码</w:t>
            </w:r>
          </w:p>
        </w:tc>
        <w:tc>
          <w:tcPr>
            <w:tcW w:w="2841" w:type="dxa"/>
          </w:tcPr>
          <w:p>
            <w:pPr>
              <w:spacing w:line="580" w:lineRule="exact"/>
              <w:jc w:val="center"/>
              <w:rPr>
                <w:rFonts w:ascii="仿宋" w:hAnsi="仿宋" w:eastAsia="仿宋"/>
                <w:szCs w:val="21"/>
              </w:rPr>
            </w:pPr>
            <w:r>
              <w:rPr>
                <w:rFonts w:hint="eastAsia" w:ascii="仿宋" w:hAnsi="仿宋" w:eastAsia="仿宋"/>
                <w:szCs w:val="21"/>
              </w:rPr>
              <w:t>科目名称</w:t>
            </w:r>
          </w:p>
        </w:tc>
        <w:tc>
          <w:tcPr>
            <w:tcW w:w="2841" w:type="dxa"/>
          </w:tcPr>
          <w:p>
            <w:pPr>
              <w:spacing w:line="580" w:lineRule="exact"/>
              <w:jc w:val="center"/>
              <w:rPr>
                <w:rFonts w:ascii="仿宋" w:hAnsi="仿宋" w:eastAsia="仿宋"/>
                <w:szCs w:val="21"/>
              </w:rPr>
            </w:pPr>
            <w:r>
              <w:rPr>
                <w:rFonts w:hint="eastAsia" w:ascii="仿宋" w:hAnsi="仿宋" w:eastAsia="仿宋"/>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80" w:lineRule="exact"/>
              <w:jc w:val="center"/>
              <w:rPr>
                <w:rFonts w:ascii="仿宋" w:hAnsi="仿宋" w:eastAsia="仿宋"/>
                <w:szCs w:val="21"/>
              </w:rPr>
            </w:pPr>
          </w:p>
        </w:tc>
        <w:tc>
          <w:tcPr>
            <w:tcW w:w="2841" w:type="dxa"/>
          </w:tcPr>
          <w:p>
            <w:pPr>
              <w:spacing w:line="580" w:lineRule="exact"/>
              <w:jc w:val="center"/>
              <w:rPr>
                <w:rFonts w:ascii="仿宋" w:hAnsi="仿宋" w:eastAsia="仿宋"/>
                <w:szCs w:val="21"/>
              </w:rPr>
            </w:pPr>
            <w:r>
              <w:rPr>
                <w:rFonts w:hint="eastAsia" w:ascii="仿宋" w:hAnsi="仿宋" w:eastAsia="仿宋"/>
                <w:szCs w:val="21"/>
              </w:rPr>
              <w:t>合计</w:t>
            </w:r>
          </w:p>
        </w:tc>
        <w:tc>
          <w:tcPr>
            <w:tcW w:w="2841" w:type="dxa"/>
          </w:tcPr>
          <w:p>
            <w:pPr>
              <w:spacing w:line="580" w:lineRule="exact"/>
              <w:jc w:val="center"/>
              <w:rPr>
                <w:rFonts w:ascii="仿宋" w:hAnsi="仿宋" w:eastAsia="仿宋"/>
                <w:b/>
                <w:szCs w:val="21"/>
              </w:rPr>
            </w:pPr>
            <w:r>
              <w:rPr>
                <w:rFonts w:hint="eastAsia" w:ascii="仿宋" w:hAnsi="仿宋" w:eastAsia="仿宋"/>
                <w:b/>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80" w:lineRule="exact"/>
              <w:jc w:val="center"/>
              <w:rPr>
                <w:rFonts w:ascii="仿宋" w:hAnsi="仿宋" w:eastAsia="仿宋"/>
                <w:szCs w:val="21"/>
              </w:rPr>
            </w:pPr>
            <w:r>
              <w:rPr>
                <w:rFonts w:hint="eastAsia" w:ascii="仿宋" w:hAnsi="仿宋" w:eastAsia="仿宋"/>
                <w:szCs w:val="21"/>
              </w:rPr>
              <w:t>212</w:t>
            </w:r>
          </w:p>
        </w:tc>
        <w:tc>
          <w:tcPr>
            <w:tcW w:w="2841" w:type="dxa"/>
          </w:tcPr>
          <w:p>
            <w:pPr>
              <w:spacing w:line="580" w:lineRule="exact"/>
              <w:jc w:val="center"/>
              <w:rPr>
                <w:rFonts w:ascii="仿宋" w:hAnsi="仿宋" w:eastAsia="仿宋"/>
                <w:szCs w:val="21"/>
              </w:rPr>
            </w:pPr>
            <w:r>
              <w:rPr>
                <w:rFonts w:hint="eastAsia" w:ascii="仿宋" w:hAnsi="仿宋" w:eastAsia="仿宋"/>
                <w:szCs w:val="21"/>
              </w:rPr>
              <w:t>政府住房基金相关支出</w:t>
            </w:r>
          </w:p>
        </w:tc>
        <w:tc>
          <w:tcPr>
            <w:tcW w:w="2841" w:type="dxa"/>
          </w:tcPr>
          <w:p>
            <w:pPr>
              <w:spacing w:line="580" w:lineRule="exact"/>
              <w:jc w:val="center"/>
              <w:rPr>
                <w:rFonts w:ascii="仿宋" w:hAnsi="仿宋" w:eastAsia="仿宋"/>
                <w:b/>
                <w:szCs w:val="21"/>
              </w:rPr>
            </w:pPr>
            <w:r>
              <w:rPr>
                <w:rFonts w:hint="eastAsia" w:ascii="仿宋" w:hAnsi="仿宋" w:eastAsia="仿宋"/>
                <w:b/>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80" w:lineRule="exact"/>
              <w:jc w:val="center"/>
              <w:rPr>
                <w:rFonts w:ascii="仿宋" w:hAnsi="仿宋" w:eastAsia="仿宋"/>
                <w:szCs w:val="21"/>
              </w:rPr>
            </w:pPr>
            <w:r>
              <w:rPr>
                <w:rFonts w:hint="eastAsia" w:ascii="仿宋" w:hAnsi="仿宋" w:eastAsia="仿宋"/>
                <w:szCs w:val="21"/>
              </w:rPr>
              <w:t>21213</w:t>
            </w:r>
          </w:p>
        </w:tc>
        <w:tc>
          <w:tcPr>
            <w:tcW w:w="2841" w:type="dxa"/>
          </w:tcPr>
          <w:p>
            <w:pPr>
              <w:spacing w:line="580" w:lineRule="exact"/>
              <w:jc w:val="center"/>
              <w:rPr>
                <w:rFonts w:ascii="仿宋" w:hAnsi="仿宋" w:eastAsia="仿宋"/>
                <w:szCs w:val="21"/>
              </w:rPr>
            </w:pPr>
            <w:r>
              <w:rPr>
                <w:rFonts w:hint="eastAsia" w:ascii="仿宋" w:hAnsi="仿宋" w:eastAsia="仿宋"/>
                <w:szCs w:val="21"/>
              </w:rPr>
              <w:t>城市基础设施配套费及对应专项债务收入安排的支出</w:t>
            </w:r>
          </w:p>
        </w:tc>
        <w:tc>
          <w:tcPr>
            <w:tcW w:w="2841" w:type="dxa"/>
          </w:tcPr>
          <w:p>
            <w:pPr>
              <w:spacing w:line="580" w:lineRule="exact"/>
              <w:jc w:val="center"/>
              <w:rPr>
                <w:rFonts w:ascii="仿宋" w:hAnsi="仿宋" w:eastAsia="仿宋"/>
                <w:szCs w:val="21"/>
              </w:rPr>
            </w:pPr>
            <w:r>
              <w:rPr>
                <w:rFonts w:hint="eastAsia" w:ascii="仿宋" w:hAnsi="仿宋" w:eastAsia="仿宋"/>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80" w:lineRule="exact"/>
              <w:jc w:val="center"/>
              <w:rPr>
                <w:rFonts w:ascii="仿宋" w:hAnsi="仿宋" w:eastAsia="仿宋"/>
                <w:szCs w:val="21"/>
              </w:rPr>
            </w:pPr>
            <w:r>
              <w:rPr>
                <w:rFonts w:hint="eastAsia" w:ascii="仿宋" w:hAnsi="仿宋" w:eastAsia="仿宋"/>
                <w:szCs w:val="21"/>
              </w:rPr>
              <w:t>2121302</w:t>
            </w:r>
          </w:p>
        </w:tc>
        <w:tc>
          <w:tcPr>
            <w:tcW w:w="2841" w:type="dxa"/>
          </w:tcPr>
          <w:p>
            <w:pPr>
              <w:spacing w:line="580" w:lineRule="exact"/>
              <w:jc w:val="center"/>
              <w:rPr>
                <w:rFonts w:ascii="仿宋" w:hAnsi="仿宋" w:eastAsia="仿宋"/>
                <w:szCs w:val="21"/>
              </w:rPr>
            </w:pPr>
            <w:r>
              <w:rPr>
                <w:rFonts w:hint="eastAsia" w:ascii="仿宋" w:hAnsi="仿宋" w:eastAsia="仿宋"/>
                <w:szCs w:val="21"/>
              </w:rPr>
              <w:t>城市环境卫生支出</w:t>
            </w:r>
          </w:p>
        </w:tc>
        <w:tc>
          <w:tcPr>
            <w:tcW w:w="2841" w:type="dxa"/>
          </w:tcPr>
          <w:p>
            <w:pPr>
              <w:spacing w:line="580" w:lineRule="exact"/>
              <w:jc w:val="center"/>
              <w:rPr>
                <w:rFonts w:ascii="仿宋" w:hAnsi="仿宋" w:eastAsia="仿宋"/>
                <w:szCs w:val="21"/>
              </w:rPr>
            </w:pPr>
            <w:r>
              <w:rPr>
                <w:rFonts w:hint="eastAsia" w:ascii="仿宋" w:hAnsi="仿宋" w:eastAsia="仿宋"/>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80" w:lineRule="exact"/>
              <w:jc w:val="center"/>
              <w:rPr>
                <w:rFonts w:ascii="仿宋" w:hAnsi="仿宋" w:eastAsia="仿宋"/>
                <w:szCs w:val="21"/>
              </w:rPr>
            </w:pPr>
          </w:p>
        </w:tc>
        <w:tc>
          <w:tcPr>
            <w:tcW w:w="2841" w:type="dxa"/>
          </w:tcPr>
          <w:p>
            <w:pPr>
              <w:spacing w:line="580" w:lineRule="exact"/>
              <w:jc w:val="center"/>
              <w:rPr>
                <w:rFonts w:ascii="仿宋" w:hAnsi="仿宋" w:eastAsia="仿宋"/>
                <w:szCs w:val="21"/>
              </w:rPr>
            </w:pPr>
          </w:p>
        </w:tc>
        <w:tc>
          <w:tcPr>
            <w:tcW w:w="2841" w:type="dxa"/>
          </w:tcPr>
          <w:p>
            <w:pPr>
              <w:spacing w:line="58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80" w:lineRule="exact"/>
              <w:jc w:val="center"/>
              <w:rPr>
                <w:rFonts w:ascii="仿宋" w:hAnsi="仿宋" w:eastAsia="仿宋"/>
                <w:szCs w:val="21"/>
              </w:rPr>
            </w:pPr>
          </w:p>
        </w:tc>
        <w:tc>
          <w:tcPr>
            <w:tcW w:w="2841" w:type="dxa"/>
          </w:tcPr>
          <w:p>
            <w:pPr>
              <w:spacing w:line="580" w:lineRule="exact"/>
              <w:jc w:val="center"/>
              <w:rPr>
                <w:rFonts w:ascii="仿宋" w:hAnsi="仿宋" w:eastAsia="仿宋"/>
                <w:szCs w:val="21"/>
              </w:rPr>
            </w:pPr>
          </w:p>
        </w:tc>
        <w:tc>
          <w:tcPr>
            <w:tcW w:w="2841" w:type="dxa"/>
          </w:tcPr>
          <w:p>
            <w:pPr>
              <w:spacing w:line="580" w:lineRule="exact"/>
              <w:jc w:val="center"/>
              <w:rPr>
                <w:rFonts w:ascii="仿宋" w:hAnsi="仿宋" w:eastAsia="仿宋"/>
                <w:szCs w:val="21"/>
              </w:rPr>
            </w:pPr>
          </w:p>
        </w:tc>
      </w:tr>
    </w:tbl>
    <w:p>
      <w:pPr>
        <w:spacing w:line="580" w:lineRule="exact"/>
        <w:rPr>
          <w:rFonts w:ascii="仿宋" w:hAnsi="仿宋" w:eastAsia="仿宋"/>
          <w:sz w:val="32"/>
          <w:szCs w:val="32"/>
        </w:rPr>
      </w:pPr>
      <w:r>
        <w:rPr>
          <w:rFonts w:hint="eastAsia" w:ascii="仿宋" w:hAnsi="仿宋" w:eastAsia="仿宋"/>
          <w:sz w:val="32"/>
          <w:szCs w:val="32"/>
        </w:rPr>
        <w:t>注：本表为区本级基金收入安排支出，不包括上级转移支付和上年结转资金。</w:t>
      </w:r>
    </w:p>
    <w:p>
      <w:pPr>
        <w:spacing w:line="580" w:lineRule="exact"/>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b/>
          <w:sz w:val="44"/>
          <w:szCs w:val="44"/>
        </w:rPr>
      </w:pPr>
    </w:p>
    <w:p>
      <w:pPr>
        <w:spacing w:line="580" w:lineRule="exact"/>
        <w:ind w:firstLine="883" w:firstLineChars="200"/>
        <w:rPr>
          <w:rFonts w:ascii="仿宋" w:hAnsi="仿宋" w:eastAsia="仿宋"/>
          <w:sz w:val="44"/>
          <w:szCs w:val="44"/>
        </w:rPr>
      </w:pPr>
      <w:r>
        <w:rPr>
          <w:rFonts w:hint="eastAsia" w:ascii="仿宋" w:hAnsi="仿宋" w:eastAsia="仿宋"/>
          <w:b/>
          <w:sz w:val="44"/>
          <w:szCs w:val="44"/>
        </w:rPr>
        <w:t>2019年双桥区社会保险基金预算</w:t>
      </w:r>
    </w:p>
    <w:p>
      <w:pPr>
        <w:spacing w:line="580" w:lineRule="exact"/>
        <w:jc w:val="center"/>
        <w:rPr>
          <w:rFonts w:ascii="仿宋" w:hAnsi="仿宋" w:eastAsia="仿宋"/>
          <w:b/>
          <w:sz w:val="44"/>
          <w:szCs w:val="44"/>
        </w:rPr>
      </w:pPr>
      <w:r>
        <w:rPr>
          <w:rFonts w:hint="eastAsia" w:ascii="仿宋" w:hAnsi="仿宋" w:eastAsia="仿宋"/>
          <w:b/>
          <w:sz w:val="44"/>
          <w:szCs w:val="44"/>
        </w:rPr>
        <w:t>（草案）</w:t>
      </w:r>
    </w:p>
    <w:p>
      <w:pPr>
        <w:spacing w:line="580" w:lineRule="exact"/>
        <w:jc w:val="center"/>
        <w:rPr>
          <w:rFonts w:ascii="仿宋" w:hAnsi="仿宋" w:eastAsia="仿宋"/>
          <w:sz w:val="44"/>
          <w:szCs w:val="44"/>
        </w:rPr>
      </w:pPr>
    </w:p>
    <w:p>
      <w:pPr>
        <w:spacing w:line="580" w:lineRule="exact"/>
        <w:ind w:right="44"/>
        <w:jc w:val="center"/>
        <w:rPr>
          <w:rFonts w:ascii="仿宋" w:hAnsi="仿宋" w:eastAsia="仿宋"/>
          <w:sz w:val="32"/>
          <w:szCs w:val="32"/>
        </w:rPr>
      </w:pPr>
      <w:r>
        <w:rPr>
          <w:rFonts w:hint="eastAsia" w:ascii="仿宋" w:hAnsi="仿宋" w:eastAsia="仿宋"/>
          <w:sz w:val="32"/>
          <w:szCs w:val="32"/>
        </w:rPr>
        <w:t>目  录</w:t>
      </w:r>
    </w:p>
    <w:p>
      <w:pPr>
        <w:spacing w:line="580" w:lineRule="exact"/>
        <w:ind w:right="44"/>
        <w:jc w:val="center"/>
        <w:rPr>
          <w:rFonts w:ascii="仿宋" w:hAnsi="仿宋" w:eastAsia="仿宋"/>
          <w:sz w:val="32"/>
          <w:szCs w:val="32"/>
        </w:rPr>
      </w:pPr>
    </w:p>
    <w:p>
      <w:pPr>
        <w:spacing w:line="580" w:lineRule="exact"/>
        <w:ind w:right="44"/>
        <w:rPr>
          <w:rFonts w:ascii="仿宋" w:hAnsi="仿宋" w:eastAsia="仿宋"/>
          <w:sz w:val="32"/>
          <w:szCs w:val="32"/>
        </w:rPr>
      </w:pPr>
      <w:r>
        <w:rPr>
          <w:rFonts w:hint="eastAsia" w:ascii="仿宋" w:hAnsi="仿宋" w:eastAsia="仿宋"/>
          <w:sz w:val="32"/>
          <w:szCs w:val="32"/>
        </w:rPr>
        <w:t>§1  2019年社会保险基金预算收支情况…………</w:t>
      </w:r>
    </w:p>
    <w:p>
      <w:pPr>
        <w:spacing w:line="580" w:lineRule="exact"/>
        <w:ind w:right="44"/>
        <w:rPr>
          <w:rFonts w:ascii="仿宋" w:hAnsi="仿宋" w:eastAsia="仿宋"/>
          <w:sz w:val="32"/>
          <w:szCs w:val="32"/>
        </w:rPr>
      </w:pPr>
      <w:r>
        <w:rPr>
          <w:rFonts w:hint="eastAsia" w:ascii="仿宋" w:hAnsi="仿宋" w:eastAsia="仿宋"/>
          <w:sz w:val="32"/>
          <w:szCs w:val="32"/>
        </w:rPr>
        <w:t>§2  2019年社会保险基金预算收支表…………</w:t>
      </w: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rPr>
          <w:rFonts w:ascii="仿宋" w:hAnsi="仿宋" w:eastAsia="仿宋"/>
          <w:sz w:val="32"/>
          <w:szCs w:val="32"/>
        </w:rPr>
      </w:pPr>
    </w:p>
    <w:p>
      <w:pPr>
        <w:spacing w:line="580" w:lineRule="exact"/>
        <w:ind w:right="44" w:firstLine="660" w:firstLineChars="150"/>
        <w:rPr>
          <w:rFonts w:ascii="仿宋" w:hAnsi="仿宋" w:eastAsia="仿宋"/>
          <w:sz w:val="44"/>
          <w:szCs w:val="44"/>
        </w:rPr>
      </w:pPr>
      <w:r>
        <w:rPr>
          <w:rFonts w:hint="eastAsia" w:ascii="仿宋" w:hAnsi="仿宋" w:eastAsia="仿宋"/>
          <w:sz w:val="44"/>
          <w:szCs w:val="44"/>
        </w:rPr>
        <w:t>§1  2019年社会保险基金预算收支</w:t>
      </w:r>
    </w:p>
    <w:p>
      <w:pPr>
        <w:spacing w:line="580" w:lineRule="exact"/>
        <w:ind w:right="44"/>
        <w:jc w:val="center"/>
        <w:rPr>
          <w:rFonts w:ascii="仿宋" w:hAnsi="仿宋" w:eastAsia="仿宋"/>
          <w:sz w:val="44"/>
          <w:szCs w:val="44"/>
        </w:rPr>
      </w:pPr>
      <w:r>
        <w:rPr>
          <w:rFonts w:hint="eastAsia" w:ascii="仿宋" w:hAnsi="仿宋" w:eastAsia="仿宋"/>
          <w:sz w:val="44"/>
          <w:szCs w:val="44"/>
        </w:rPr>
        <w:t>情况</w:t>
      </w:r>
    </w:p>
    <w:p>
      <w:pPr>
        <w:spacing w:line="580" w:lineRule="exact"/>
        <w:ind w:right="44"/>
        <w:rPr>
          <w:rFonts w:ascii="仿宋" w:hAnsi="仿宋" w:eastAsia="仿宋"/>
          <w:b/>
          <w:sz w:val="44"/>
          <w:szCs w:val="44"/>
        </w:rPr>
      </w:pPr>
    </w:p>
    <w:p>
      <w:pPr>
        <w:spacing w:line="580" w:lineRule="exact"/>
        <w:ind w:firstLine="645"/>
        <w:rPr>
          <w:rFonts w:ascii="仿宋" w:hAnsi="仿宋" w:eastAsia="仿宋"/>
          <w:b/>
          <w:sz w:val="32"/>
          <w:szCs w:val="32"/>
        </w:rPr>
      </w:pPr>
      <w:r>
        <w:rPr>
          <w:rFonts w:hint="eastAsia" w:ascii="仿宋" w:hAnsi="仿宋" w:eastAsia="仿宋"/>
          <w:b/>
          <w:sz w:val="32"/>
          <w:szCs w:val="32"/>
        </w:rPr>
        <w:t>一、社会保险基金收入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2019年社会保险基金收入预算拟安排104782万元。</w:t>
      </w:r>
    </w:p>
    <w:p>
      <w:pPr>
        <w:widowControl w:val="0"/>
        <w:numPr>
          <w:ilvl w:val="0"/>
          <w:numId w:val="3"/>
        </w:numPr>
        <w:spacing w:line="550" w:lineRule="exact"/>
        <w:jc w:val="both"/>
        <w:rPr>
          <w:rFonts w:ascii="仿宋" w:hAnsi="仿宋" w:eastAsia="仿宋"/>
          <w:sz w:val="32"/>
          <w:szCs w:val="32"/>
        </w:rPr>
      </w:pPr>
      <w:r>
        <w:rPr>
          <w:rFonts w:hint="eastAsia" w:ascii="仿宋" w:hAnsi="仿宋" w:eastAsia="仿宋"/>
          <w:sz w:val="32"/>
          <w:szCs w:val="32"/>
        </w:rPr>
        <w:t>当年社会保险基金收入57760万元。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② 上年结转社保基金收入47022万元</w:t>
      </w:r>
    </w:p>
    <w:p>
      <w:pPr>
        <w:spacing w:line="580" w:lineRule="exact"/>
        <w:ind w:firstLine="643" w:firstLineChars="200"/>
        <w:rPr>
          <w:rFonts w:ascii="仿宋" w:hAnsi="仿宋" w:eastAsia="仿宋" w:cs="宋体"/>
          <w:b/>
          <w:sz w:val="32"/>
          <w:szCs w:val="32"/>
        </w:rPr>
      </w:pPr>
      <w:r>
        <w:rPr>
          <w:rFonts w:hint="eastAsia" w:ascii="仿宋" w:hAnsi="仿宋" w:eastAsia="仿宋" w:cs="宋体"/>
          <w:b/>
          <w:sz w:val="32"/>
          <w:szCs w:val="32"/>
        </w:rPr>
        <w:t>二、社会保险基金支出支出</w:t>
      </w:r>
    </w:p>
    <w:p>
      <w:pPr>
        <w:ind w:firstLine="627" w:firstLineChars="196"/>
        <w:rPr>
          <w:rFonts w:ascii="仿宋" w:hAnsi="仿宋" w:eastAsia="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2019年社会保险基金支出预算拟安排77693万元。</w:t>
      </w:r>
    </w:p>
    <w:p>
      <w:pPr>
        <w:spacing w:line="480" w:lineRule="exact"/>
        <w:ind w:right="45" w:firstLine="880" w:firstLineChars="200"/>
        <w:rPr>
          <w:rFonts w:ascii="仿宋" w:hAnsi="仿宋" w:eastAsia="仿宋"/>
          <w:sz w:val="44"/>
          <w:szCs w:val="44"/>
        </w:rPr>
      </w:pPr>
      <w:r>
        <w:rPr>
          <w:rFonts w:hint="eastAsia" w:ascii="仿宋" w:hAnsi="仿宋" w:eastAsia="仿宋"/>
          <w:sz w:val="44"/>
          <w:szCs w:val="44"/>
        </w:rPr>
        <w:t>§2  2019年社会保险基金预算</w:t>
      </w:r>
    </w:p>
    <w:p>
      <w:pPr>
        <w:spacing w:line="480" w:lineRule="exact"/>
        <w:ind w:right="45"/>
        <w:jc w:val="center"/>
        <w:rPr>
          <w:rFonts w:ascii="仿宋" w:hAnsi="仿宋" w:eastAsia="仿宋"/>
          <w:sz w:val="44"/>
          <w:szCs w:val="44"/>
        </w:rPr>
      </w:pPr>
      <w:r>
        <w:rPr>
          <w:rFonts w:hint="eastAsia" w:ascii="仿宋" w:hAnsi="仿宋" w:eastAsia="仿宋"/>
          <w:sz w:val="44"/>
          <w:szCs w:val="44"/>
        </w:rPr>
        <w:t>收支表</w:t>
      </w:r>
    </w:p>
    <w:p>
      <w:pPr>
        <w:spacing w:line="580" w:lineRule="exact"/>
        <w:ind w:right="44"/>
        <w:jc w:val="center"/>
        <w:rPr>
          <w:rFonts w:ascii="汉仪大宋简" w:hAnsi="宋体" w:eastAsia="汉仪大宋简"/>
          <w:sz w:val="32"/>
          <w:szCs w:val="32"/>
        </w:rPr>
      </w:pPr>
    </w:p>
    <w:p>
      <w:pPr>
        <w:spacing w:line="580" w:lineRule="exact"/>
        <w:ind w:right="44"/>
        <w:jc w:val="center"/>
        <w:rPr>
          <w:rFonts w:ascii="汉仪大宋简" w:hAnsi="宋体" w:eastAsia="汉仪大宋简"/>
          <w:sz w:val="32"/>
          <w:szCs w:val="32"/>
        </w:rPr>
      </w:pPr>
    </w:p>
    <w:p>
      <w:pPr>
        <w:spacing w:line="580" w:lineRule="exact"/>
        <w:ind w:right="44"/>
        <w:jc w:val="center"/>
        <w:rPr>
          <w:rFonts w:ascii="汉仪大宋简" w:hAnsi="宋体" w:eastAsia="汉仪大宋简"/>
          <w:sz w:val="32"/>
          <w:szCs w:val="32"/>
        </w:rPr>
      </w:pPr>
      <w:r>
        <w:rPr>
          <w:rFonts w:hint="eastAsia" w:ascii="汉仪大宋简" w:hAnsi="宋体" w:eastAsia="汉仪大宋简"/>
          <w:sz w:val="32"/>
          <w:szCs w:val="32"/>
        </w:rPr>
        <w:t>社会保险基金预算收入表</w:t>
      </w:r>
    </w:p>
    <w:p>
      <w:pPr>
        <w:spacing w:line="360" w:lineRule="exact"/>
        <w:ind w:right="45"/>
        <w:jc w:val="right"/>
        <w:rPr>
          <w:rFonts w:ascii="宋体" w:hAnsi="宋体" w:cs="宋体"/>
          <w:sz w:val="24"/>
        </w:rPr>
      </w:pPr>
      <w:r>
        <w:rPr>
          <w:rFonts w:hint="eastAsia" w:ascii="宋体" w:hAnsi="宋体" w:cs="宋体"/>
          <w:sz w:val="24"/>
        </w:rPr>
        <w:t xml:space="preserve">                 单位：万元</w:t>
      </w:r>
    </w:p>
    <w:p>
      <w:pPr>
        <w:spacing w:line="360" w:lineRule="exact"/>
        <w:ind w:right="45" w:firstLine="11840" w:firstLineChars="3700"/>
        <w:rPr>
          <w:rFonts w:ascii="仿宋_GB2312" w:hAnsi="宋体" w:eastAsia="仿宋_GB2312"/>
          <w:sz w:val="32"/>
          <w:szCs w:val="32"/>
        </w:rPr>
      </w:pPr>
    </w:p>
    <w:tbl>
      <w:tblPr>
        <w:tblStyle w:val="10"/>
        <w:tblW w:w="8880" w:type="dxa"/>
        <w:tblInd w:w="89" w:type="dxa"/>
        <w:tblLayout w:type="fixed"/>
        <w:tblCellMar>
          <w:top w:w="0" w:type="dxa"/>
          <w:left w:w="108" w:type="dxa"/>
          <w:bottom w:w="0" w:type="dxa"/>
          <w:right w:w="108" w:type="dxa"/>
        </w:tblCellMar>
      </w:tblPr>
      <w:tblGrid>
        <w:gridCol w:w="1936"/>
        <w:gridCol w:w="4911"/>
        <w:gridCol w:w="2033"/>
      </w:tblGrid>
      <w:tr>
        <w:tblPrEx>
          <w:tblLayout w:type="fixed"/>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szCs w:val="20"/>
              </w:rPr>
            </w:pPr>
            <w:r>
              <w:rPr>
                <w:rFonts w:hint="eastAsia" w:ascii="宋体" w:hAnsi="宋体" w:cs="宋体"/>
                <w:b/>
                <w:bCs/>
                <w:sz w:val="20"/>
                <w:szCs w:val="20"/>
              </w:rPr>
              <w:t>科目编码</w:t>
            </w:r>
          </w:p>
        </w:tc>
        <w:tc>
          <w:tcPr>
            <w:tcW w:w="4911"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0"/>
                <w:szCs w:val="20"/>
              </w:rPr>
            </w:pPr>
            <w:r>
              <w:rPr>
                <w:rFonts w:hint="eastAsia" w:ascii="宋体" w:hAnsi="宋体" w:cs="宋体"/>
                <w:b/>
                <w:bCs/>
                <w:sz w:val="20"/>
                <w:szCs w:val="20"/>
              </w:rPr>
              <w:t>科目名称</w:t>
            </w: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0"/>
                <w:szCs w:val="20"/>
              </w:rPr>
            </w:pPr>
            <w:r>
              <w:rPr>
                <w:rFonts w:hint="eastAsia" w:ascii="宋体" w:hAnsi="宋体" w:cs="宋体"/>
                <w:b/>
                <w:bCs/>
                <w:sz w:val="20"/>
                <w:szCs w:val="20"/>
              </w:rPr>
              <w:t>预算数</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102</w:t>
            </w:r>
          </w:p>
        </w:tc>
        <w:tc>
          <w:tcPr>
            <w:tcW w:w="4911" w:type="dxa"/>
            <w:tcBorders>
              <w:top w:val="nil"/>
              <w:left w:val="nil"/>
              <w:bottom w:val="single" w:color="auto" w:sz="4" w:space="0"/>
              <w:right w:val="single" w:color="auto" w:sz="4" w:space="0"/>
            </w:tcBorders>
            <w:vAlign w:val="center"/>
          </w:tcPr>
          <w:p>
            <w:pPr>
              <w:rPr>
                <w:rFonts w:ascii="宋体" w:hAnsi="宋体" w:cs="宋体"/>
                <w:b/>
                <w:bCs/>
                <w:sz w:val="24"/>
              </w:rPr>
            </w:pPr>
            <w:r>
              <w:rPr>
                <w:rFonts w:hint="eastAsia" w:ascii="宋体" w:hAnsi="宋体" w:cs="宋体"/>
                <w:b/>
                <w:bCs/>
                <w:sz w:val="24"/>
              </w:rPr>
              <w:t>社会保险基金收入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57760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10201</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highlight w:val="yellow"/>
              </w:rPr>
            </w:pPr>
            <w:r>
              <w:rPr>
                <w:rFonts w:hint="eastAsia" w:ascii="宋体" w:hAnsi="宋体" w:cs="宋体"/>
                <w:b/>
                <w:bCs/>
                <w:sz w:val="24"/>
              </w:rPr>
              <w:t>企业职工基本养老保险基金收入</w:t>
            </w:r>
          </w:p>
        </w:tc>
        <w:tc>
          <w:tcPr>
            <w:tcW w:w="2033" w:type="dxa"/>
            <w:tcBorders>
              <w:top w:val="nil"/>
              <w:left w:val="nil"/>
              <w:bottom w:val="single" w:color="auto" w:sz="4" w:space="0"/>
              <w:right w:val="single" w:color="auto" w:sz="4" w:space="0"/>
            </w:tcBorders>
            <w:vAlign w:val="center"/>
          </w:tcPr>
          <w:p>
            <w:pPr>
              <w:ind w:firstLine="8" w:firstLineChars="4"/>
              <w:rPr>
                <w:rFonts w:ascii="宋体" w:hAnsi="宋体" w:cs="宋体"/>
                <w:b/>
                <w:bCs/>
                <w:sz w:val="20"/>
                <w:szCs w:val="20"/>
              </w:rPr>
            </w:pPr>
            <w:r>
              <w:rPr>
                <w:rFonts w:hint="eastAsia" w:ascii="宋体" w:hAnsi="宋体" w:cs="宋体"/>
                <w:b/>
                <w:bCs/>
                <w:sz w:val="20"/>
                <w:szCs w:val="20"/>
              </w:rPr>
              <w:t>36500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1020101</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企业职工基本养老保险费收入</w:t>
            </w:r>
          </w:p>
        </w:tc>
        <w:tc>
          <w:tcPr>
            <w:tcW w:w="2033" w:type="dxa"/>
            <w:tcBorders>
              <w:top w:val="nil"/>
              <w:left w:val="nil"/>
              <w:bottom w:val="single" w:color="auto" w:sz="4" w:space="0"/>
              <w:right w:val="single" w:color="auto" w:sz="4" w:space="0"/>
            </w:tcBorders>
            <w:vAlign w:val="center"/>
          </w:tcPr>
          <w:p>
            <w:pPr>
              <w:ind w:firstLine="10" w:firstLineChars="5"/>
              <w:rPr>
                <w:rFonts w:ascii="宋体" w:hAnsi="宋体" w:cs="宋体"/>
                <w:sz w:val="20"/>
                <w:szCs w:val="20"/>
              </w:rPr>
            </w:pPr>
            <w:r>
              <w:rPr>
                <w:rFonts w:hint="eastAsia" w:ascii="宋体" w:hAnsi="宋体" w:cs="宋体"/>
                <w:sz w:val="20"/>
                <w:szCs w:val="20"/>
              </w:rPr>
              <w:t>25000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1020102</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企业职工基本养老保险费财政补贴收入</w:t>
            </w:r>
          </w:p>
        </w:tc>
        <w:tc>
          <w:tcPr>
            <w:tcW w:w="2033" w:type="dxa"/>
            <w:tcBorders>
              <w:top w:val="single" w:color="auto" w:sz="4" w:space="0"/>
              <w:left w:val="nil"/>
              <w:bottom w:val="single" w:color="auto" w:sz="4" w:space="0"/>
              <w:right w:val="single" w:color="auto" w:sz="4" w:space="0"/>
            </w:tcBorders>
            <w:shd w:val="clear" w:color="auto" w:fill="FFFFFF"/>
            <w:vAlign w:val="center"/>
          </w:tcPr>
          <w:p>
            <w:pPr>
              <w:ind w:firstLine="10" w:firstLineChars="5"/>
              <w:rPr>
                <w:rFonts w:ascii="宋体" w:hAnsi="宋体" w:cs="宋体"/>
                <w:sz w:val="20"/>
                <w:szCs w:val="20"/>
              </w:rPr>
            </w:pPr>
            <w:r>
              <w:rPr>
                <w:rFonts w:hint="eastAsia" w:ascii="宋体" w:hAnsi="宋体" w:cs="宋体"/>
                <w:sz w:val="20"/>
                <w:szCs w:val="20"/>
              </w:rPr>
              <w:t>11400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1020103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企业职工基本养老保险基金利息收入</w:t>
            </w:r>
          </w:p>
        </w:tc>
        <w:tc>
          <w:tcPr>
            <w:tcW w:w="2033" w:type="dxa"/>
            <w:tcBorders>
              <w:top w:val="single" w:color="auto" w:sz="4" w:space="0"/>
              <w:left w:val="nil"/>
              <w:bottom w:val="single" w:color="auto" w:sz="4" w:space="0"/>
              <w:right w:val="single" w:color="auto" w:sz="4" w:space="0"/>
            </w:tcBorders>
            <w:shd w:val="clear" w:color="auto" w:fill="FFFFFF"/>
            <w:vAlign w:val="center"/>
          </w:tcPr>
          <w:p>
            <w:pPr>
              <w:ind w:firstLine="10" w:firstLineChars="5"/>
              <w:rPr>
                <w:rFonts w:ascii="宋体" w:hAnsi="宋体" w:cs="宋体"/>
                <w:sz w:val="20"/>
                <w:szCs w:val="20"/>
              </w:rPr>
            </w:pPr>
            <w:r>
              <w:rPr>
                <w:rFonts w:hint="eastAsia" w:ascii="宋体" w:hAnsi="宋体" w:cs="宋体"/>
                <w:sz w:val="20"/>
                <w:szCs w:val="20"/>
              </w:rPr>
              <w:t>100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1020199</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其他企业职工基本养老保险基金收入</w:t>
            </w:r>
          </w:p>
        </w:tc>
        <w:tc>
          <w:tcPr>
            <w:tcW w:w="2033"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10202</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失业保险基金收入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1020201</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失业保险费收入</w:t>
            </w:r>
          </w:p>
        </w:tc>
        <w:tc>
          <w:tcPr>
            <w:tcW w:w="2033" w:type="dxa"/>
            <w:tcBorders>
              <w:top w:val="nil"/>
              <w:left w:val="nil"/>
              <w:bottom w:val="single" w:color="auto" w:sz="4" w:space="0"/>
              <w:right w:val="single" w:color="auto" w:sz="4" w:space="0"/>
            </w:tcBorders>
            <w:vAlign w:val="center"/>
          </w:tcPr>
          <w:p>
            <w:pPr>
              <w:ind w:firstLine="10" w:firstLineChars="5"/>
              <w:rPr>
                <w:rFonts w:ascii="宋体" w:hAnsi="宋体" w:cs="宋体"/>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1020203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失业保险基金利息收入</w:t>
            </w:r>
          </w:p>
        </w:tc>
        <w:tc>
          <w:tcPr>
            <w:tcW w:w="2033" w:type="dxa"/>
            <w:tcBorders>
              <w:top w:val="nil"/>
              <w:left w:val="nil"/>
              <w:bottom w:val="single" w:color="auto" w:sz="4" w:space="0"/>
              <w:right w:val="single" w:color="auto" w:sz="4" w:space="0"/>
            </w:tcBorders>
            <w:vAlign w:val="center"/>
          </w:tcPr>
          <w:p>
            <w:pPr>
              <w:rPr>
                <w:rFonts w:ascii="宋体" w:hAnsi="宋体" w:cs="宋体"/>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1020299</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其他失业保险基金收入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10203</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城镇职工基本医疗保险基金收入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1020301</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城镇职工基本医疗保险费收入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1020303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城镇职工基本医疗保险基金利息收入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1020399</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其他城镇职工基本医疗保险基金收入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10204</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工伤保险基金收入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1020401</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工伤保险费收入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1020403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工伤保险基金利息收入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10205</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生育保险基金收入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1020501</w:t>
            </w:r>
          </w:p>
        </w:tc>
        <w:tc>
          <w:tcPr>
            <w:tcW w:w="4911" w:type="dxa"/>
            <w:tcBorders>
              <w:top w:val="single" w:color="auto" w:sz="4" w:space="0"/>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生育保险费收入</w:t>
            </w:r>
          </w:p>
        </w:tc>
        <w:tc>
          <w:tcPr>
            <w:tcW w:w="2033" w:type="dxa"/>
            <w:tcBorders>
              <w:top w:val="single" w:color="auto" w:sz="4" w:space="0"/>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1020503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生育保险基金利息收入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10210</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城乡居民基本养老保险基金收入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1498</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1021001</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城乡居民基本养老保险基金缴费收入</w:t>
            </w:r>
          </w:p>
        </w:tc>
        <w:tc>
          <w:tcPr>
            <w:tcW w:w="2033"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330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1021002</w:t>
            </w:r>
          </w:p>
        </w:tc>
        <w:tc>
          <w:tcPr>
            <w:tcW w:w="4911" w:type="dxa"/>
            <w:tcBorders>
              <w:top w:val="nil"/>
              <w:left w:val="nil"/>
              <w:bottom w:val="single" w:color="auto" w:sz="4" w:space="0"/>
              <w:right w:val="single" w:color="auto" w:sz="4" w:space="0"/>
            </w:tcBorders>
            <w:vAlign w:val="center"/>
          </w:tcPr>
          <w:p>
            <w:pPr>
              <w:ind w:firstLine="364" w:firstLineChars="200"/>
              <w:rPr>
                <w:rFonts w:ascii="宋体" w:hAnsi="宋体" w:cs="宋体"/>
                <w:sz w:val="20"/>
                <w:szCs w:val="20"/>
              </w:rPr>
            </w:pPr>
            <w:r>
              <w:rPr>
                <w:rFonts w:hint="eastAsia" w:ascii="宋体" w:hAnsi="宋体" w:cs="宋体"/>
                <w:spacing w:val="-9"/>
                <w:sz w:val="20"/>
                <w:szCs w:val="20"/>
              </w:rPr>
              <w:t>城乡居民基本养老保险基金财政补贴收入</w:t>
            </w:r>
          </w:p>
        </w:tc>
        <w:tc>
          <w:tcPr>
            <w:tcW w:w="2033"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1127</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1021003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城乡居民基本养老保险基金利息收入</w:t>
            </w:r>
          </w:p>
        </w:tc>
        <w:tc>
          <w:tcPr>
            <w:tcW w:w="2033"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41</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1021099</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其他城乡居民基本养老保险基金收入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10211</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highlight w:val="yellow"/>
              </w:rPr>
            </w:pPr>
            <w:r>
              <w:rPr>
                <w:rFonts w:hint="eastAsia" w:ascii="宋体" w:hAnsi="宋体" w:cs="宋体"/>
                <w:b/>
                <w:bCs/>
                <w:sz w:val="24"/>
              </w:rPr>
              <w:t>机关事业单位基本养老保险基金收入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19708</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1021101</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highlight w:val="yellow"/>
              </w:rPr>
            </w:pPr>
            <w:r>
              <w:rPr>
                <w:rFonts w:hint="eastAsia" w:ascii="宋体" w:hAnsi="宋体" w:cs="宋体"/>
                <w:sz w:val="20"/>
                <w:szCs w:val="20"/>
              </w:rPr>
              <w:t>机关事业单位基本养老保险费收入</w:t>
            </w:r>
          </w:p>
        </w:tc>
        <w:tc>
          <w:tcPr>
            <w:tcW w:w="2033"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8378</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1021102</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机关事业单位基本养老保险基金财政补助收入</w:t>
            </w:r>
          </w:p>
        </w:tc>
        <w:tc>
          <w:tcPr>
            <w:tcW w:w="2033"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11200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1021103</w:t>
            </w:r>
          </w:p>
        </w:tc>
        <w:tc>
          <w:tcPr>
            <w:tcW w:w="4911" w:type="dxa"/>
            <w:tcBorders>
              <w:top w:val="nil"/>
              <w:left w:val="nil"/>
              <w:bottom w:val="single" w:color="auto" w:sz="4" w:space="0"/>
              <w:right w:val="single" w:color="auto" w:sz="4" w:space="0"/>
            </w:tcBorders>
            <w:vAlign w:val="center"/>
          </w:tcPr>
          <w:p>
            <w:pPr>
              <w:ind w:firstLine="364" w:firstLineChars="200"/>
              <w:rPr>
                <w:rFonts w:ascii="宋体" w:hAnsi="宋体" w:cs="宋体"/>
                <w:sz w:val="20"/>
                <w:szCs w:val="20"/>
              </w:rPr>
            </w:pPr>
            <w:r>
              <w:rPr>
                <w:rFonts w:hint="eastAsia" w:ascii="宋体" w:hAnsi="宋体" w:cs="宋体"/>
                <w:spacing w:val="-9"/>
                <w:sz w:val="20"/>
                <w:szCs w:val="20"/>
              </w:rPr>
              <w:t>机关事业单位基本养老保险基金利息收入</w:t>
            </w:r>
          </w:p>
        </w:tc>
        <w:tc>
          <w:tcPr>
            <w:tcW w:w="2033"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130</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10212</w:t>
            </w:r>
          </w:p>
        </w:tc>
        <w:tc>
          <w:tcPr>
            <w:tcW w:w="4911"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城乡居民基本医疗保险基金收入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1021201</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城乡居民基本医疗保险基金缴费收入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1021202</w:t>
            </w:r>
          </w:p>
        </w:tc>
        <w:tc>
          <w:tcPr>
            <w:tcW w:w="4911" w:type="dxa"/>
            <w:tcBorders>
              <w:top w:val="nil"/>
              <w:left w:val="nil"/>
              <w:bottom w:val="single" w:color="auto" w:sz="4" w:space="0"/>
              <w:right w:val="single" w:color="auto" w:sz="4" w:space="0"/>
            </w:tcBorders>
            <w:vAlign w:val="center"/>
          </w:tcPr>
          <w:p>
            <w:pPr>
              <w:ind w:firstLine="364" w:firstLineChars="200"/>
              <w:rPr>
                <w:rFonts w:ascii="宋体" w:hAnsi="宋体" w:cs="宋体"/>
                <w:sz w:val="20"/>
                <w:szCs w:val="20"/>
              </w:rPr>
            </w:pPr>
            <w:r>
              <w:rPr>
                <w:rFonts w:hint="eastAsia" w:ascii="宋体" w:hAnsi="宋体" w:cs="宋体"/>
                <w:spacing w:val="-9"/>
                <w:sz w:val="20"/>
                <w:szCs w:val="20"/>
              </w:rPr>
              <w:t>城乡居民基本医疗保险基金财政补贴收入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1021203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城乡居民基本医疗保险基金利息收入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110</w:t>
            </w:r>
          </w:p>
        </w:tc>
        <w:tc>
          <w:tcPr>
            <w:tcW w:w="4911" w:type="dxa"/>
            <w:tcBorders>
              <w:top w:val="nil"/>
              <w:left w:val="nil"/>
              <w:bottom w:val="single" w:color="auto" w:sz="4" w:space="0"/>
              <w:right w:val="single" w:color="auto" w:sz="4" w:space="0"/>
            </w:tcBorders>
            <w:vAlign w:val="center"/>
          </w:tcPr>
          <w:p>
            <w:pPr>
              <w:rPr>
                <w:rFonts w:ascii="宋体" w:hAnsi="宋体" w:cs="宋体"/>
                <w:b/>
                <w:bCs/>
                <w:sz w:val="24"/>
              </w:rPr>
            </w:pPr>
            <w:r>
              <w:rPr>
                <w:rFonts w:hint="eastAsia" w:ascii="宋体" w:hAnsi="宋体" w:cs="宋体"/>
                <w:b/>
                <w:bCs/>
                <w:sz w:val="24"/>
              </w:rPr>
              <w:t>转移性收入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47022</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11008</w:t>
            </w:r>
          </w:p>
        </w:tc>
        <w:tc>
          <w:tcPr>
            <w:tcW w:w="4911" w:type="dxa"/>
            <w:tcBorders>
              <w:top w:val="nil"/>
              <w:left w:val="nil"/>
              <w:bottom w:val="single" w:color="auto" w:sz="4" w:space="0"/>
              <w:right w:val="single" w:color="auto" w:sz="4" w:space="0"/>
            </w:tcBorders>
            <w:vAlign w:val="center"/>
          </w:tcPr>
          <w:p>
            <w:pPr>
              <w:ind w:firstLine="201" w:firstLineChars="100"/>
              <w:rPr>
                <w:rFonts w:ascii="宋体" w:hAnsi="宋体" w:cs="宋体"/>
                <w:b/>
                <w:bCs/>
                <w:sz w:val="20"/>
                <w:szCs w:val="20"/>
              </w:rPr>
            </w:pPr>
            <w:r>
              <w:rPr>
                <w:rFonts w:hint="eastAsia" w:ascii="宋体" w:hAnsi="宋体" w:cs="宋体"/>
                <w:b/>
                <w:bCs/>
                <w:sz w:val="20"/>
                <w:szCs w:val="20"/>
              </w:rPr>
              <w:t>上年结余收入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47022</w:t>
            </w:r>
          </w:p>
        </w:tc>
      </w:tr>
      <w:tr>
        <w:tblPrEx>
          <w:tblLayout w:type="fixed"/>
          <w:tblCellMar>
            <w:top w:w="0" w:type="dxa"/>
            <w:left w:w="108" w:type="dxa"/>
            <w:bottom w:w="0" w:type="dxa"/>
            <w:right w:w="108" w:type="dxa"/>
          </w:tblCellMar>
        </w:tblPrEx>
        <w:tc>
          <w:tcPr>
            <w:tcW w:w="1936" w:type="dxa"/>
            <w:tcBorders>
              <w:top w:val="nil"/>
              <w:left w:val="single" w:color="auto" w:sz="4" w:space="0"/>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1100803</w:t>
            </w:r>
          </w:p>
        </w:tc>
        <w:tc>
          <w:tcPr>
            <w:tcW w:w="4911" w:type="dxa"/>
            <w:tcBorders>
              <w:top w:val="nil"/>
              <w:left w:val="nil"/>
              <w:bottom w:val="single" w:color="auto" w:sz="4"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社会保险基金预算上年结余收入</w:t>
            </w:r>
          </w:p>
        </w:tc>
        <w:tc>
          <w:tcPr>
            <w:tcW w:w="2033"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47022</w:t>
            </w:r>
          </w:p>
        </w:tc>
      </w:tr>
      <w:tr>
        <w:tblPrEx>
          <w:tblLayout w:type="fixed"/>
          <w:tblCellMar>
            <w:top w:w="0" w:type="dxa"/>
            <w:left w:w="108" w:type="dxa"/>
            <w:bottom w:w="0" w:type="dxa"/>
            <w:right w:w="108" w:type="dxa"/>
          </w:tblCellMar>
        </w:tblPrEx>
        <w:tc>
          <w:tcPr>
            <w:tcW w:w="68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汉仪中黑简" w:hAnsi="汉仪中黑简" w:eastAsia="汉仪中黑简" w:cs="汉仪中黑简"/>
                <w:b/>
                <w:bCs/>
                <w:sz w:val="20"/>
                <w:szCs w:val="20"/>
              </w:rPr>
            </w:pPr>
            <w:r>
              <w:rPr>
                <w:rFonts w:hint="eastAsia" w:ascii="汉仪中黑简" w:hAnsi="汉仪中黑简" w:eastAsia="汉仪中黑简" w:cs="汉仪中黑简"/>
                <w:b/>
                <w:bCs/>
                <w:sz w:val="20"/>
                <w:szCs w:val="20"/>
              </w:rPr>
              <w:t>合    计</w:t>
            </w:r>
          </w:p>
        </w:tc>
        <w:tc>
          <w:tcPr>
            <w:tcW w:w="2033" w:type="dxa"/>
            <w:tcBorders>
              <w:top w:val="nil"/>
              <w:left w:val="nil"/>
              <w:bottom w:val="single" w:color="auto" w:sz="4" w:space="0"/>
              <w:right w:val="single" w:color="auto" w:sz="4" w:space="0"/>
            </w:tcBorders>
          </w:tcPr>
          <w:p>
            <w:pPr>
              <w:rPr>
                <w:rFonts w:ascii="汉仪中黑简" w:hAnsi="汉仪中黑简" w:eastAsia="汉仪中黑简" w:cs="汉仪中黑简"/>
                <w:b/>
                <w:bCs/>
                <w:sz w:val="20"/>
                <w:szCs w:val="20"/>
              </w:rPr>
            </w:pPr>
            <w:r>
              <w:rPr>
                <w:rFonts w:hint="eastAsia" w:ascii="汉仪中黑简" w:hAnsi="汉仪中黑简" w:eastAsia="汉仪中黑简" w:cs="汉仪中黑简"/>
                <w:b/>
                <w:bCs/>
                <w:sz w:val="20"/>
                <w:szCs w:val="20"/>
              </w:rPr>
              <w:t>104782</w:t>
            </w:r>
          </w:p>
        </w:tc>
      </w:tr>
    </w:tbl>
    <w:p>
      <w:r>
        <w:br w:type="page"/>
      </w:r>
    </w:p>
    <w:p/>
    <w:tbl>
      <w:tblPr>
        <w:tblStyle w:val="10"/>
        <w:tblW w:w="8880" w:type="dxa"/>
        <w:tblInd w:w="89" w:type="dxa"/>
        <w:tblLayout w:type="fixed"/>
        <w:tblCellMar>
          <w:top w:w="0" w:type="dxa"/>
          <w:left w:w="108" w:type="dxa"/>
          <w:bottom w:w="0" w:type="dxa"/>
          <w:right w:w="108" w:type="dxa"/>
        </w:tblCellMar>
      </w:tblPr>
      <w:tblGrid>
        <w:gridCol w:w="1820"/>
        <w:gridCol w:w="5352"/>
        <w:gridCol w:w="1708"/>
      </w:tblGrid>
      <w:tr>
        <w:tblPrEx>
          <w:tblLayout w:type="fixed"/>
          <w:tblCellMar>
            <w:top w:w="0" w:type="dxa"/>
            <w:left w:w="108" w:type="dxa"/>
            <w:bottom w:w="0" w:type="dxa"/>
            <w:right w:w="108" w:type="dxa"/>
          </w:tblCellMar>
        </w:tblPrEx>
        <w:trPr>
          <w:trHeight w:val="766" w:hRule="atLeast"/>
        </w:trPr>
        <w:tc>
          <w:tcPr>
            <w:tcW w:w="8880" w:type="dxa"/>
            <w:gridSpan w:val="3"/>
            <w:tcBorders>
              <w:top w:val="nil"/>
              <w:left w:val="nil"/>
              <w:bottom w:val="nil"/>
              <w:right w:val="nil"/>
            </w:tcBorders>
          </w:tcPr>
          <w:p>
            <w:pPr>
              <w:jc w:val="center"/>
              <w:rPr>
                <w:rFonts w:ascii="方正小标宋_GBK" w:hAnsi="宋体" w:eastAsia="方正小标宋_GBK" w:cs="宋体"/>
                <w:sz w:val="36"/>
                <w:szCs w:val="36"/>
              </w:rPr>
            </w:pPr>
            <w:r>
              <w:rPr>
                <w:rFonts w:hint="eastAsia" w:ascii="汉仪大宋简" w:hAnsi="宋体" w:eastAsia="汉仪大宋简"/>
                <w:sz w:val="32"/>
                <w:szCs w:val="32"/>
              </w:rPr>
              <w:t>社会保险基金预算支出表</w:t>
            </w:r>
          </w:p>
        </w:tc>
      </w:tr>
      <w:tr>
        <w:tblPrEx>
          <w:tblLayout w:type="fixed"/>
          <w:tblCellMar>
            <w:top w:w="0" w:type="dxa"/>
            <w:left w:w="108" w:type="dxa"/>
            <w:bottom w:w="0" w:type="dxa"/>
            <w:right w:w="108" w:type="dxa"/>
          </w:tblCellMar>
        </w:tblPrEx>
        <w:trPr>
          <w:trHeight w:val="383" w:hRule="atLeast"/>
        </w:trPr>
        <w:tc>
          <w:tcPr>
            <w:tcW w:w="1820" w:type="dxa"/>
            <w:tcBorders>
              <w:top w:val="nil"/>
              <w:left w:val="nil"/>
              <w:bottom w:val="nil"/>
              <w:right w:val="nil"/>
            </w:tcBorders>
          </w:tcPr>
          <w:p>
            <w:pPr>
              <w:rPr>
                <w:sz w:val="22"/>
              </w:rPr>
            </w:pPr>
          </w:p>
        </w:tc>
        <w:tc>
          <w:tcPr>
            <w:tcW w:w="5352" w:type="dxa"/>
            <w:tcBorders>
              <w:top w:val="nil"/>
              <w:left w:val="nil"/>
              <w:bottom w:val="nil"/>
              <w:right w:val="nil"/>
            </w:tcBorders>
          </w:tcPr>
          <w:p>
            <w:pPr>
              <w:rPr>
                <w:sz w:val="22"/>
              </w:rPr>
            </w:pPr>
          </w:p>
        </w:tc>
        <w:tc>
          <w:tcPr>
            <w:tcW w:w="1708" w:type="dxa"/>
            <w:tcBorders>
              <w:top w:val="nil"/>
              <w:left w:val="nil"/>
              <w:bottom w:val="nil"/>
              <w:right w:val="nil"/>
            </w:tcBorders>
          </w:tcPr>
          <w:p>
            <w:pPr>
              <w:jc w:val="right"/>
              <w:rPr>
                <w:sz w:val="22"/>
              </w:rPr>
            </w:pPr>
            <w:r>
              <w:rPr>
                <w:rFonts w:hint="eastAsia" w:ascii="宋体" w:hAnsi="宋体" w:cs="宋体"/>
                <w:sz w:val="22"/>
              </w:rPr>
              <w:t>单位：万元</w:t>
            </w:r>
          </w:p>
        </w:tc>
      </w:tr>
      <w:tr>
        <w:tblPrEx>
          <w:tblLayout w:type="fixed"/>
          <w:tblCellMar>
            <w:top w:w="0" w:type="dxa"/>
            <w:left w:w="108" w:type="dxa"/>
            <w:bottom w:w="0" w:type="dxa"/>
            <w:right w:w="108" w:type="dxa"/>
          </w:tblCellMar>
        </w:tblPrEx>
        <w:trPr>
          <w:trHeight w:val="20" w:hRule="atLeast"/>
        </w:trPr>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科目编码</w:t>
            </w:r>
          </w:p>
        </w:tc>
        <w:tc>
          <w:tcPr>
            <w:tcW w:w="5352"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科目名称</w:t>
            </w:r>
          </w:p>
        </w:tc>
        <w:tc>
          <w:tcPr>
            <w:tcW w:w="1708"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0"/>
                <w:szCs w:val="20"/>
              </w:rPr>
            </w:pPr>
            <w:r>
              <w:rPr>
                <w:rFonts w:hint="eastAsia" w:ascii="宋体" w:hAnsi="宋体" w:cs="宋体"/>
                <w:b/>
                <w:bCs/>
                <w:sz w:val="20"/>
                <w:szCs w:val="20"/>
              </w:rPr>
              <w:t>预算数</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rPr>
                <w:rFonts w:ascii="宋体" w:hAnsi="宋体" w:cs="宋体"/>
                <w:b/>
                <w:bCs/>
                <w:sz w:val="24"/>
              </w:rPr>
            </w:pPr>
            <w:r>
              <w:rPr>
                <w:rFonts w:hint="eastAsia" w:ascii="宋体" w:hAnsi="宋体" w:cs="宋体"/>
                <w:b/>
                <w:bCs/>
                <w:sz w:val="24"/>
              </w:rPr>
              <w:t>209</w:t>
            </w:r>
          </w:p>
        </w:tc>
        <w:tc>
          <w:tcPr>
            <w:tcW w:w="5352" w:type="dxa"/>
            <w:tcBorders>
              <w:top w:val="nil"/>
              <w:left w:val="nil"/>
              <w:bottom w:val="single" w:color="auto" w:sz="4" w:space="0"/>
              <w:right w:val="single" w:color="auto" w:sz="4" w:space="0"/>
            </w:tcBorders>
            <w:vAlign w:val="center"/>
          </w:tcPr>
          <w:p>
            <w:pPr>
              <w:rPr>
                <w:rFonts w:ascii="宋体" w:hAnsi="宋体" w:cs="宋体"/>
                <w:b/>
                <w:bCs/>
                <w:sz w:val="24"/>
              </w:rPr>
            </w:pPr>
            <w:r>
              <w:rPr>
                <w:rFonts w:hint="eastAsia" w:ascii="宋体" w:hAnsi="宋体" w:cs="宋体"/>
                <w:b/>
                <w:bCs/>
                <w:sz w:val="24"/>
              </w:rPr>
              <w:t>社会保险基金支出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77693</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20901</w:t>
            </w:r>
          </w:p>
        </w:tc>
        <w:tc>
          <w:tcPr>
            <w:tcW w:w="5352"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企业职工基本养老保险基金支出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63000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2090101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基本养老金</w:t>
            </w:r>
          </w:p>
        </w:tc>
        <w:tc>
          <w:tcPr>
            <w:tcW w:w="1708"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60000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2090103</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丧葬抚恤补助</w:t>
            </w:r>
          </w:p>
        </w:tc>
        <w:tc>
          <w:tcPr>
            <w:tcW w:w="1708"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bCs/>
                <w:sz w:val="20"/>
                <w:szCs w:val="20"/>
              </w:rPr>
            </w:pPr>
            <w:r>
              <w:rPr>
                <w:rFonts w:hint="eastAsia" w:ascii="宋体" w:hAnsi="宋体" w:cs="宋体"/>
                <w:bCs/>
                <w:sz w:val="20"/>
                <w:szCs w:val="20"/>
              </w:rPr>
              <w:t>3000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2090199</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其他基本养老保险基金支出</w:t>
            </w:r>
          </w:p>
        </w:tc>
        <w:tc>
          <w:tcPr>
            <w:tcW w:w="1708"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20902</w:t>
            </w:r>
          </w:p>
        </w:tc>
        <w:tc>
          <w:tcPr>
            <w:tcW w:w="5352"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失业保险基金支出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2090201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失业保险金</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2090202</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医疗保险费</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2090299</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其他失业保险基金支出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20903</w:t>
            </w:r>
          </w:p>
        </w:tc>
        <w:tc>
          <w:tcPr>
            <w:tcW w:w="5352"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城镇职工基本医疗保险基金支出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2090301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城镇职工基本医疗保险统筹基金</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2090302</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城镇职工基本医疗保险个人账户基金</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20904</w:t>
            </w:r>
          </w:p>
        </w:tc>
        <w:tc>
          <w:tcPr>
            <w:tcW w:w="5352"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工伤保险基金支出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2090401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工伤保险待遇</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2090402</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劳动能力鉴定支出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20905</w:t>
            </w:r>
          </w:p>
        </w:tc>
        <w:tc>
          <w:tcPr>
            <w:tcW w:w="5352"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生育保险基金支出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2090501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生育医疗费用支出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2090502</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生育津贴支出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single" w:color="auto" w:sz="4" w:space="0"/>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20910</w:t>
            </w:r>
          </w:p>
        </w:tc>
        <w:tc>
          <w:tcPr>
            <w:tcW w:w="5352" w:type="dxa"/>
            <w:tcBorders>
              <w:top w:val="single" w:color="auto" w:sz="4" w:space="0"/>
              <w:left w:val="nil"/>
              <w:bottom w:val="single" w:color="auto" w:sz="4" w:space="0"/>
              <w:right w:val="single" w:color="auto" w:sz="4" w:space="0"/>
            </w:tcBorders>
            <w:shd w:val="clear" w:color="auto" w:fill="FFFFFF"/>
            <w:vAlign w:val="center"/>
          </w:tcPr>
          <w:p>
            <w:pPr>
              <w:ind w:firstLine="241" w:firstLineChars="100"/>
              <w:rPr>
                <w:rFonts w:ascii="宋体" w:hAnsi="宋体" w:cs="宋体"/>
                <w:b/>
                <w:bCs/>
                <w:sz w:val="24"/>
              </w:rPr>
            </w:pPr>
            <w:r>
              <w:rPr>
                <w:rFonts w:hint="eastAsia" w:ascii="宋体" w:hAnsi="宋体" w:cs="宋体"/>
                <w:b/>
                <w:bCs/>
                <w:sz w:val="24"/>
              </w:rPr>
              <w:t>城乡居民基本养老保险基金支出</w:t>
            </w:r>
          </w:p>
        </w:tc>
        <w:tc>
          <w:tcPr>
            <w:tcW w:w="1708" w:type="dxa"/>
            <w:tcBorders>
              <w:top w:val="single" w:color="auto" w:sz="4" w:space="0"/>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2150</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2091001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基本养老金支出</w:t>
            </w:r>
          </w:p>
        </w:tc>
        <w:tc>
          <w:tcPr>
            <w:tcW w:w="1708"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1069</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2091002</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个人账户养老金支出</w:t>
            </w:r>
          </w:p>
        </w:tc>
        <w:tc>
          <w:tcPr>
            <w:tcW w:w="1708"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1081</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2091099</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其他城乡居民基本养老保险基金支出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20911</w:t>
            </w:r>
          </w:p>
        </w:tc>
        <w:tc>
          <w:tcPr>
            <w:tcW w:w="5352" w:type="dxa"/>
            <w:tcBorders>
              <w:top w:val="nil"/>
              <w:left w:val="nil"/>
              <w:bottom w:val="single" w:color="auto" w:sz="4" w:space="0"/>
              <w:right w:val="single" w:color="auto" w:sz="4" w:space="0"/>
            </w:tcBorders>
            <w:shd w:val="clear" w:color="auto" w:fill="FFFFFF"/>
            <w:vAlign w:val="center"/>
          </w:tcPr>
          <w:p>
            <w:pPr>
              <w:ind w:firstLine="241" w:firstLineChars="100"/>
              <w:rPr>
                <w:rFonts w:ascii="宋体" w:hAnsi="宋体" w:cs="宋体"/>
                <w:b/>
                <w:bCs/>
                <w:sz w:val="24"/>
              </w:rPr>
            </w:pPr>
            <w:r>
              <w:rPr>
                <w:rFonts w:hint="eastAsia" w:ascii="宋体" w:hAnsi="宋体" w:cs="宋体"/>
                <w:b/>
                <w:bCs/>
                <w:sz w:val="24"/>
              </w:rPr>
              <w:t>机关事业单位基本养老保险基金支出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12543</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2091101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基本养老金支出</w:t>
            </w:r>
          </w:p>
        </w:tc>
        <w:tc>
          <w:tcPr>
            <w:tcW w:w="1708" w:type="dxa"/>
            <w:tcBorders>
              <w:top w:val="nil"/>
              <w:left w:val="nil"/>
              <w:bottom w:val="single" w:color="auto" w:sz="4" w:space="0"/>
              <w:right w:val="single" w:color="auto" w:sz="4" w:space="0"/>
            </w:tcBorders>
            <w:vAlign w:val="center"/>
          </w:tcPr>
          <w:p>
            <w:pPr>
              <w:rPr>
                <w:rFonts w:ascii="宋体" w:hAnsi="宋体" w:cs="宋体"/>
                <w:bCs/>
                <w:sz w:val="20"/>
                <w:szCs w:val="20"/>
              </w:rPr>
            </w:pPr>
            <w:r>
              <w:rPr>
                <w:rFonts w:hint="eastAsia" w:ascii="宋体" w:hAnsi="宋体" w:cs="宋体"/>
                <w:bCs/>
                <w:sz w:val="20"/>
                <w:szCs w:val="20"/>
              </w:rPr>
              <w:t>12543</w:t>
            </w: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20912</w:t>
            </w:r>
          </w:p>
        </w:tc>
        <w:tc>
          <w:tcPr>
            <w:tcW w:w="5352" w:type="dxa"/>
            <w:tcBorders>
              <w:top w:val="nil"/>
              <w:left w:val="nil"/>
              <w:bottom w:val="single" w:color="auto" w:sz="4" w:space="0"/>
              <w:right w:val="single" w:color="auto" w:sz="4" w:space="0"/>
            </w:tcBorders>
            <w:vAlign w:val="center"/>
          </w:tcPr>
          <w:p>
            <w:pPr>
              <w:ind w:firstLine="241" w:firstLineChars="100"/>
              <w:rPr>
                <w:rFonts w:ascii="宋体" w:hAnsi="宋体" w:cs="宋体"/>
                <w:b/>
                <w:bCs/>
                <w:sz w:val="24"/>
              </w:rPr>
            </w:pPr>
            <w:r>
              <w:rPr>
                <w:rFonts w:hint="eastAsia" w:ascii="宋体" w:hAnsi="宋体" w:cs="宋体"/>
                <w:b/>
                <w:bCs/>
                <w:sz w:val="24"/>
              </w:rPr>
              <w:t>城乡居民基本医疗保险基金支出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2091201</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城乡居民基本医疗保险基金医疗待遇支出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1820" w:type="dxa"/>
            <w:tcBorders>
              <w:top w:val="nil"/>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2091202</w:t>
            </w:r>
          </w:p>
        </w:tc>
        <w:tc>
          <w:tcPr>
            <w:tcW w:w="5352" w:type="dxa"/>
            <w:tcBorders>
              <w:top w:val="nil"/>
              <w:left w:val="nil"/>
              <w:bottom w:val="single" w:color="auto" w:sz="4" w:space="0"/>
              <w:right w:val="single" w:color="auto" w:sz="4" w:space="0"/>
            </w:tcBorders>
            <w:vAlign w:val="center"/>
          </w:tcPr>
          <w:p>
            <w:pPr>
              <w:ind w:firstLine="480" w:firstLineChars="200"/>
              <w:rPr>
                <w:rFonts w:ascii="宋体" w:hAnsi="宋体" w:cs="宋体"/>
                <w:sz w:val="24"/>
              </w:rPr>
            </w:pPr>
            <w:r>
              <w:rPr>
                <w:rFonts w:hint="eastAsia" w:ascii="宋体" w:hAnsi="宋体" w:cs="宋体"/>
                <w:sz w:val="24"/>
              </w:rPr>
              <w:t>大病医疗保险支出</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p>
        </w:tc>
      </w:tr>
      <w:tr>
        <w:tblPrEx>
          <w:tblLayout w:type="fixed"/>
          <w:tblCellMar>
            <w:top w:w="0" w:type="dxa"/>
            <w:left w:w="108" w:type="dxa"/>
            <w:bottom w:w="0" w:type="dxa"/>
            <w:right w:w="108" w:type="dxa"/>
          </w:tblCellMar>
        </w:tblPrEx>
        <w:trPr>
          <w:trHeight w:val="20" w:hRule="atLeast"/>
        </w:trPr>
        <w:tc>
          <w:tcPr>
            <w:tcW w:w="7172"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汉仪中黑简" w:hAnsi="汉仪中黑简" w:eastAsia="汉仪中黑简" w:cs="汉仪中黑简"/>
                <w:sz w:val="24"/>
              </w:rPr>
            </w:pPr>
            <w:r>
              <w:rPr>
                <w:rFonts w:hint="eastAsia" w:ascii="汉仪中黑简" w:hAnsi="汉仪中黑简" w:eastAsia="汉仪中黑简" w:cs="汉仪中黑简"/>
                <w:sz w:val="24"/>
              </w:rPr>
              <w:t>合       计</w:t>
            </w:r>
          </w:p>
        </w:tc>
        <w:tc>
          <w:tcPr>
            <w:tcW w:w="1708" w:type="dxa"/>
            <w:tcBorders>
              <w:top w:val="nil"/>
              <w:left w:val="nil"/>
              <w:bottom w:val="single" w:color="auto" w:sz="4" w:space="0"/>
              <w:right w:val="single" w:color="auto" w:sz="4" w:space="0"/>
            </w:tcBorders>
            <w:vAlign w:val="center"/>
          </w:tcPr>
          <w:p>
            <w:pPr>
              <w:rPr>
                <w:rFonts w:ascii="宋体" w:hAnsi="宋体" w:cs="宋体"/>
                <w:b/>
                <w:bCs/>
                <w:sz w:val="20"/>
                <w:szCs w:val="20"/>
              </w:rPr>
            </w:pPr>
            <w:r>
              <w:rPr>
                <w:rFonts w:hint="eastAsia" w:ascii="宋体" w:hAnsi="宋体" w:cs="宋体"/>
                <w:b/>
                <w:bCs/>
                <w:sz w:val="20"/>
                <w:szCs w:val="20"/>
              </w:rPr>
              <w:t>77693</w:t>
            </w:r>
          </w:p>
        </w:tc>
      </w:tr>
    </w:tbl>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r>
        <w:rPr>
          <w:rFonts w:hint="eastAsia"/>
          <w:sz w:val="30"/>
          <w:szCs w:val="30"/>
        </w:rPr>
        <w:t>附表：</w:t>
      </w:r>
    </w:p>
    <w:tbl>
      <w:tblPr>
        <w:tblStyle w:val="10"/>
        <w:tblW w:w="22349" w:type="dxa"/>
        <w:tblInd w:w="89" w:type="dxa"/>
        <w:tblLayout w:type="fixed"/>
        <w:tblCellMar>
          <w:top w:w="0" w:type="dxa"/>
          <w:left w:w="108" w:type="dxa"/>
          <w:bottom w:w="0" w:type="dxa"/>
          <w:right w:w="108" w:type="dxa"/>
        </w:tblCellMar>
      </w:tblPr>
      <w:tblGrid>
        <w:gridCol w:w="486"/>
        <w:gridCol w:w="756"/>
        <w:gridCol w:w="1613"/>
        <w:gridCol w:w="1746"/>
        <w:gridCol w:w="846"/>
        <w:gridCol w:w="396"/>
        <w:gridCol w:w="396"/>
        <w:gridCol w:w="1206"/>
        <w:gridCol w:w="396"/>
        <w:gridCol w:w="396"/>
        <w:gridCol w:w="936"/>
        <w:gridCol w:w="396"/>
        <w:gridCol w:w="846"/>
        <w:gridCol w:w="666"/>
        <w:gridCol w:w="846"/>
        <w:gridCol w:w="846"/>
        <w:gridCol w:w="846"/>
        <w:gridCol w:w="666"/>
        <w:gridCol w:w="846"/>
        <w:gridCol w:w="666"/>
        <w:gridCol w:w="576"/>
        <w:gridCol w:w="666"/>
        <w:gridCol w:w="576"/>
        <w:gridCol w:w="576"/>
        <w:gridCol w:w="576"/>
        <w:gridCol w:w="576"/>
        <w:gridCol w:w="576"/>
        <w:gridCol w:w="576"/>
        <w:gridCol w:w="576"/>
        <w:gridCol w:w="882"/>
        <w:gridCol w:w="396"/>
      </w:tblGrid>
      <w:tr>
        <w:tblPrEx>
          <w:tblLayout w:type="fixed"/>
          <w:tblCellMar>
            <w:top w:w="0" w:type="dxa"/>
            <w:left w:w="108" w:type="dxa"/>
            <w:bottom w:w="0" w:type="dxa"/>
            <w:right w:w="108" w:type="dxa"/>
          </w:tblCellMar>
        </w:tblPrEx>
        <w:trPr>
          <w:trHeight w:val="750" w:hRule="atLeast"/>
        </w:trPr>
        <w:tc>
          <w:tcPr>
            <w:tcW w:w="22349" w:type="dxa"/>
            <w:gridSpan w:val="31"/>
            <w:tcBorders>
              <w:top w:val="nil"/>
              <w:left w:val="nil"/>
              <w:bottom w:val="nil"/>
              <w:right w:val="nil"/>
            </w:tcBorders>
            <w:shd w:val="clear" w:color="000000" w:fill="E4ECF7"/>
            <w:vAlign w:val="center"/>
          </w:tcPr>
          <w:p>
            <w:pPr>
              <w:jc w:val="center"/>
              <w:rPr>
                <w:rFonts w:ascii="宋体" w:hAnsi="宋体" w:eastAsia="宋体" w:cs="宋体"/>
                <w:b/>
                <w:bCs/>
                <w:sz w:val="44"/>
                <w:szCs w:val="44"/>
              </w:rPr>
            </w:pPr>
            <w:r>
              <w:rPr>
                <w:rFonts w:hint="eastAsia" w:ascii="宋体" w:hAnsi="宋体" w:eastAsia="宋体" w:cs="宋体"/>
                <w:b/>
                <w:bCs/>
                <w:sz w:val="44"/>
                <w:szCs w:val="44"/>
              </w:rPr>
              <w:t>河北省省级部门政府采购预算建议计划表</w:t>
            </w:r>
          </w:p>
        </w:tc>
      </w:tr>
      <w:tr>
        <w:tblPrEx>
          <w:tblLayout w:type="fixed"/>
          <w:tblCellMar>
            <w:top w:w="0" w:type="dxa"/>
            <w:left w:w="108" w:type="dxa"/>
            <w:bottom w:w="0" w:type="dxa"/>
            <w:right w:w="108" w:type="dxa"/>
          </w:tblCellMar>
        </w:tblPrEx>
        <w:trPr>
          <w:trHeight w:val="300" w:hRule="atLeast"/>
        </w:trPr>
        <w:tc>
          <w:tcPr>
            <w:tcW w:w="19919" w:type="dxa"/>
            <w:gridSpan w:val="27"/>
            <w:tcBorders>
              <w:top w:val="nil"/>
              <w:left w:val="nil"/>
              <w:bottom w:val="nil"/>
              <w:right w:val="nil"/>
            </w:tcBorders>
            <w:shd w:val="clear" w:color="000000" w:fill="E4ECF7"/>
            <w:vAlign w:val="center"/>
          </w:tcPr>
          <w:p>
            <w:pPr>
              <w:jc w:val="both"/>
              <w:rPr>
                <w:rFonts w:ascii="宋体" w:hAnsi="宋体" w:eastAsia="宋体" w:cs="宋体"/>
                <w:sz w:val="18"/>
                <w:szCs w:val="18"/>
              </w:rPr>
            </w:pPr>
            <w:r>
              <w:rPr>
                <w:rFonts w:hint="eastAsia" w:ascii="宋体" w:hAnsi="宋体" w:eastAsia="宋体" w:cs="宋体"/>
                <w:sz w:val="18"/>
                <w:szCs w:val="18"/>
              </w:rPr>
              <w:t>部门编码及名称：[]全部</w:t>
            </w:r>
          </w:p>
        </w:tc>
        <w:tc>
          <w:tcPr>
            <w:tcW w:w="1152" w:type="dxa"/>
            <w:gridSpan w:val="2"/>
            <w:tcBorders>
              <w:top w:val="nil"/>
              <w:left w:val="nil"/>
              <w:bottom w:val="nil"/>
              <w:right w:val="nil"/>
            </w:tcBorders>
            <w:shd w:val="clear" w:color="000000" w:fill="E4ECF7"/>
            <w:vAlign w:val="center"/>
          </w:tcPr>
          <w:p>
            <w:pPr>
              <w:jc w:val="right"/>
              <w:rPr>
                <w:rFonts w:ascii="宋体" w:hAnsi="宋体" w:eastAsia="宋体" w:cs="宋体"/>
                <w:sz w:val="18"/>
                <w:szCs w:val="18"/>
              </w:rPr>
            </w:pPr>
            <w:r>
              <w:rPr>
                <w:rFonts w:hint="eastAsia" w:ascii="宋体" w:hAnsi="宋体" w:eastAsia="宋体" w:cs="宋体"/>
                <w:sz w:val="18"/>
                <w:szCs w:val="18"/>
              </w:rPr>
              <w:t>预算年度：2019</w:t>
            </w:r>
          </w:p>
        </w:tc>
        <w:tc>
          <w:tcPr>
            <w:tcW w:w="1278" w:type="dxa"/>
            <w:gridSpan w:val="2"/>
            <w:tcBorders>
              <w:top w:val="nil"/>
              <w:left w:val="nil"/>
              <w:bottom w:val="nil"/>
              <w:right w:val="nil"/>
            </w:tcBorders>
            <w:shd w:val="clear" w:color="000000" w:fill="E4ECF7"/>
            <w:vAlign w:val="center"/>
          </w:tcPr>
          <w:p>
            <w:pPr>
              <w:jc w:val="right"/>
              <w:rPr>
                <w:rFonts w:ascii="宋体" w:hAnsi="宋体" w:eastAsia="宋体" w:cs="宋体"/>
                <w:sz w:val="18"/>
                <w:szCs w:val="18"/>
              </w:rPr>
            </w:pPr>
            <w:r>
              <w:rPr>
                <w:rFonts w:hint="eastAsia" w:ascii="宋体" w:hAnsi="宋体" w:eastAsia="宋体" w:cs="宋体"/>
                <w:sz w:val="18"/>
                <w:szCs w:val="18"/>
              </w:rPr>
              <w:t>金额单位：万元</w:t>
            </w:r>
          </w:p>
        </w:tc>
      </w:tr>
      <w:tr>
        <w:tblPrEx>
          <w:tblLayout w:type="fixed"/>
          <w:tblCellMar>
            <w:top w:w="0" w:type="dxa"/>
            <w:left w:w="108" w:type="dxa"/>
            <w:bottom w:w="0" w:type="dxa"/>
            <w:right w:w="108" w:type="dxa"/>
          </w:tblCellMar>
        </w:tblPrEx>
        <w:trPr>
          <w:trHeight w:val="300" w:hRule="atLeast"/>
        </w:trPr>
        <w:tc>
          <w:tcPr>
            <w:tcW w:w="48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序号</w:t>
            </w:r>
          </w:p>
        </w:tc>
        <w:tc>
          <w:tcPr>
            <w:tcW w:w="75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单位编码</w:t>
            </w:r>
          </w:p>
        </w:tc>
        <w:tc>
          <w:tcPr>
            <w:tcW w:w="1613"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单位名称（项目名称）</w:t>
            </w:r>
          </w:p>
        </w:tc>
        <w:tc>
          <w:tcPr>
            <w:tcW w:w="3384" w:type="dxa"/>
            <w:gridSpan w:val="4"/>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所属项目</w:t>
            </w:r>
          </w:p>
        </w:tc>
        <w:tc>
          <w:tcPr>
            <w:tcW w:w="120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采购物品目录序号、物品名称</w:t>
            </w:r>
          </w:p>
        </w:tc>
        <w:tc>
          <w:tcPr>
            <w:tcW w:w="39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采购类别</w:t>
            </w:r>
          </w:p>
        </w:tc>
        <w:tc>
          <w:tcPr>
            <w:tcW w:w="39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采购物品产地</w:t>
            </w:r>
          </w:p>
        </w:tc>
        <w:tc>
          <w:tcPr>
            <w:tcW w:w="93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产品规格</w:t>
            </w:r>
          </w:p>
        </w:tc>
        <w:tc>
          <w:tcPr>
            <w:tcW w:w="39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单位</w:t>
            </w:r>
          </w:p>
        </w:tc>
        <w:tc>
          <w:tcPr>
            <w:tcW w:w="84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单价</w:t>
            </w:r>
          </w:p>
        </w:tc>
        <w:tc>
          <w:tcPr>
            <w:tcW w:w="66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数量</w:t>
            </w:r>
          </w:p>
        </w:tc>
        <w:tc>
          <w:tcPr>
            <w:tcW w:w="9990" w:type="dxa"/>
            <w:gridSpan w:val="15"/>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政府采购计划金额</w:t>
            </w:r>
          </w:p>
        </w:tc>
        <w:tc>
          <w:tcPr>
            <w:tcW w:w="882"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政府采购政策功能</w:t>
            </w:r>
          </w:p>
        </w:tc>
        <w:tc>
          <w:tcPr>
            <w:tcW w:w="39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是否本级采购</w:t>
            </w:r>
          </w:p>
        </w:tc>
      </w:tr>
      <w:tr>
        <w:tblPrEx>
          <w:tblLayout w:type="fixed"/>
          <w:tblCellMar>
            <w:top w:w="0" w:type="dxa"/>
            <w:left w:w="108" w:type="dxa"/>
            <w:bottom w:w="0" w:type="dxa"/>
            <w:right w:w="108" w:type="dxa"/>
          </w:tblCellMar>
        </w:tblPrEx>
        <w:trPr>
          <w:trHeight w:val="300" w:hRule="atLeast"/>
        </w:trPr>
        <w:tc>
          <w:tcPr>
            <w:tcW w:w="486" w:type="dxa"/>
            <w:vMerge w:val="continue"/>
            <w:tcBorders>
              <w:top w:val="nil"/>
              <w:left w:val="nil"/>
              <w:bottom w:val="nil"/>
              <w:right w:val="nil"/>
            </w:tcBorders>
            <w:vAlign w:val="center"/>
          </w:tcPr>
          <w:p>
            <w:pPr>
              <w:rPr>
                <w:rFonts w:ascii="宋体" w:hAnsi="宋体" w:eastAsia="宋体" w:cs="宋体"/>
                <w:sz w:val="18"/>
                <w:szCs w:val="18"/>
              </w:rPr>
            </w:pPr>
          </w:p>
        </w:tc>
        <w:tc>
          <w:tcPr>
            <w:tcW w:w="756" w:type="dxa"/>
            <w:vMerge w:val="continue"/>
            <w:tcBorders>
              <w:top w:val="nil"/>
              <w:left w:val="nil"/>
              <w:bottom w:val="nil"/>
              <w:right w:val="nil"/>
            </w:tcBorders>
            <w:vAlign w:val="center"/>
          </w:tcPr>
          <w:p>
            <w:pPr>
              <w:rPr>
                <w:rFonts w:ascii="宋体" w:hAnsi="宋体" w:eastAsia="宋体" w:cs="宋体"/>
                <w:sz w:val="18"/>
                <w:szCs w:val="18"/>
              </w:rPr>
            </w:pPr>
          </w:p>
        </w:tc>
        <w:tc>
          <w:tcPr>
            <w:tcW w:w="1613" w:type="dxa"/>
            <w:vMerge w:val="continue"/>
            <w:tcBorders>
              <w:top w:val="nil"/>
              <w:left w:val="nil"/>
              <w:bottom w:val="nil"/>
              <w:right w:val="nil"/>
            </w:tcBorders>
            <w:vAlign w:val="center"/>
          </w:tcPr>
          <w:p>
            <w:pPr>
              <w:rPr>
                <w:rFonts w:ascii="宋体" w:hAnsi="宋体" w:eastAsia="宋体" w:cs="宋体"/>
                <w:sz w:val="18"/>
                <w:szCs w:val="18"/>
              </w:rPr>
            </w:pPr>
          </w:p>
        </w:tc>
        <w:tc>
          <w:tcPr>
            <w:tcW w:w="3384" w:type="dxa"/>
            <w:gridSpan w:val="4"/>
            <w:vMerge w:val="continue"/>
            <w:tcBorders>
              <w:top w:val="nil"/>
              <w:left w:val="nil"/>
              <w:bottom w:val="nil"/>
              <w:right w:val="nil"/>
            </w:tcBorders>
            <w:vAlign w:val="center"/>
          </w:tcPr>
          <w:p>
            <w:pPr>
              <w:rPr>
                <w:rFonts w:ascii="宋体" w:hAnsi="宋体" w:eastAsia="宋体" w:cs="宋体"/>
                <w:sz w:val="18"/>
                <w:szCs w:val="18"/>
              </w:rPr>
            </w:pPr>
          </w:p>
        </w:tc>
        <w:tc>
          <w:tcPr>
            <w:tcW w:w="120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93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continue"/>
            <w:tcBorders>
              <w:top w:val="nil"/>
              <w:left w:val="nil"/>
              <w:bottom w:val="nil"/>
              <w:right w:val="nil"/>
            </w:tcBorders>
            <w:vAlign w:val="center"/>
          </w:tcPr>
          <w:p>
            <w:pPr>
              <w:rPr>
                <w:rFonts w:ascii="宋体" w:hAnsi="宋体" w:eastAsia="宋体" w:cs="宋体"/>
                <w:sz w:val="18"/>
                <w:szCs w:val="18"/>
              </w:rPr>
            </w:pPr>
          </w:p>
        </w:tc>
        <w:tc>
          <w:tcPr>
            <w:tcW w:w="66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总计</w:t>
            </w:r>
          </w:p>
        </w:tc>
        <w:tc>
          <w:tcPr>
            <w:tcW w:w="8568" w:type="dxa"/>
            <w:gridSpan w:val="13"/>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当年部门预算安排资金</w:t>
            </w:r>
          </w:p>
        </w:tc>
        <w:tc>
          <w:tcPr>
            <w:tcW w:w="57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其他渠道资金</w:t>
            </w:r>
          </w:p>
        </w:tc>
        <w:tc>
          <w:tcPr>
            <w:tcW w:w="882"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300" w:hRule="atLeast"/>
        </w:trPr>
        <w:tc>
          <w:tcPr>
            <w:tcW w:w="486" w:type="dxa"/>
            <w:vMerge w:val="continue"/>
            <w:tcBorders>
              <w:top w:val="nil"/>
              <w:left w:val="nil"/>
              <w:bottom w:val="nil"/>
              <w:right w:val="nil"/>
            </w:tcBorders>
            <w:vAlign w:val="center"/>
          </w:tcPr>
          <w:p>
            <w:pPr>
              <w:rPr>
                <w:rFonts w:ascii="宋体" w:hAnsi="宋体" w:eastAsia="宋体" w:cs="宋体"/>
                <w:sz w:val="18"/>
                <w:szCs w:val="18"/>
              </w:rPr>
            </w:pPr>
          </w:p>
        </w:tc>
        <w:tc>
          <w:tcPr>
            <w:tcW w:w="756" w:type="dxa"/>
            <w:vMerge w:val="continue"/>
            <w:tcBorders>
              <w:top w:val="nil"/>
              <w:left w:val="nil"/>
              <w:bottom w:val="nil"/>
              <w:right w:val="nil"/>
            </w:tcBorders>
            <w:vAlign w:val="center"/>
          </w:tcPr>
          <w:p>
            <w:pPr>
              <w:rPr>
                <w:rFonts w:ascii="宋体" w:hAnsi="宋体" w:eastAsia="宋体" w:cs="宋体"/>
                <w:sz w:val="18"/>
                <w:szCs w:val="18"/>
              </w:rPr>
            </w:pPr>
          </w:p>
        </w:tc>
        <w:tc>
          <w:tcPr>
            <w:tcW w:w="1613" w:type="dxa"/>
            <w:vMerge w:val="continue"/>
            <w:tcBorders>
              <w:top w:val="nil"/>
              <w:left w:val="nil"/>
              <w:bottom w:val="nil"/>
              <w:right w:val="nil"/>
            </w:tcBorders>
            <w:vAlign w:val="center"/>
          </w:tcPr>
          <w:p>
            <w:pPr>
              <w:rPr>
                <w:rFonts w:ascii="宋体" w:hAnsi="宋体" w:eastAsia="宋体" w:cs="宋体"/>
                <w:sz w:val="18"/>
                <w:szCs w:val="18"/>
              </w:rPr>
            </w:pPr>
          </w:p>
        </w:tc>
        <w:tc>
          <w:tcPr>
            <w:tcW w:w="174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项目编码</w:t>
            </w:r>
          </w:p>
        </w:tc>
        <w:tc>
          <w:tcPr>
            <w:tcW w:w="84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功能分类科目编码</w:t>
            </w:r>
          </w:p>
        </w:tc>
        <w:tc>
          <w:tcPr>
            <w:tcW w:w="39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经济分类科目编码</w:t>
            </w:r>
          </w:p>
        </w:tc>
        <w:tc>
          <w:tcPr>
            <w:tcW w:w="39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项目资金性质</w:t>
            </w:r>
          </w:p>
        </w:tc>
        <w:tc>
          <w:tcPr>
            <w:tcW w:w="120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93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continue"/>
            <w:tcBorders>
              <w:top w:val="nil"/>
              <w:left w:val="nil"/>
              <w:bottom w:val="nil"/>
              <w:right w:val="nil"/>
            </w:tcBorders>
            <w:vAlign w:val="center"/>
          </w:tcPr>
          <w:p>
            <w:pPr>
              <w:rPr>
                <w:rFonts w:ascii="宋体" w:hAnsi="宋体" w:eastAsia="宋体" w:cs="宋体"/>
                <w:sz w:val="18"/>
                <w:szCs w:val="18"/>
              </w:rPr>
            </w:pPr>
          </w:p>
        </w:tc>
        <w:tc>
          <w:tcPr>
            <w:tcW w:w="66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合计</w:t>
            </w:r>
          </w:p>
        </w:tc>
        <w:tc>
          <w:tcPr>
            <w:tcW w:w="5994" w:type="dxa"/>
            <w:gridSpan w:val="9"/>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一般公共预算拨款</w:t>
            </w:r>
          </w:p>
        </w:tc>
        <w:tc>
          <w:tcPr>
            <w:tcW w:w="57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基金预算拨款安排</w:t>
            </w:r>
          </w:p>
        </w:tc>
        <w:tc>
          <w:tcPr>
            <w:tcW w:w="57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财政专户核拨资金</w:t>
            </w:r>
          </w:p>
        </w:tc>
        <w:tc>
          <w:tcPr>
            <w:tcW w:w="576" w:type="dxa"/>
            <w:vMerge w:val="restart"/>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其他来源收入安排</w:t>
            </w:r>
          </w:p>
        </w:tc>
        <w:tc>
          <w:tcPr>
            <w:tcW w:w="576" w:type="dxa"/>
            <w:vMerge w:val="continue"/>
            <w:tcBorders>
              <w:top w:val="nil"/>
              <w:left w:val="nil"/>
              <w:bottom w:val="nil"/>
              <w:right w:val="nil"/>
            </w:tcBorders>
            <w:vAlign w:val="center"/>
          </w:tcPr>
          <w:p>
            <w:pPr>
              <w:rPr>
                <w:rFonts w:ascii="宋体" w:hAnsi="宋体" w:eastAsia="宋体" w:cs="宋体"/>
                <w:sz w:val="18"/>
                <w:szCs w:val="18"/>
              </w:rPr>
            </w:pPr>
          </w:p>
        </w:tc>
        <w:tc>
          <w:tcPr>
            <w:tcW w:w="882"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600" w:hRule="atLeast"/>
        </w:trPr>
        <w:tc>
          <w:tcPr>
            <w:tcW w:w="486" w:type="dxa"/>
            <w:vMerge w:val="continue"/>
            <w:tcBorders>
              <w:top w:val="nil"/>
              <w:left w:val="nil"/>
              <w:bottom w:val="nil"/>
              <w:right w:val="nil"/>
            </w:tcBorders>
            <w:vAlign w:val="center"/>
          </w:tcPr>
          <w:p>
            <w:pPr>
              <w:rPr>
                <w:rFonts w:ascii="宋体" w:hAnsi="宋体" w:eastAsia="宋体" w:cs="宋体"/>
                <w:sz w:val="18"/>
                <w:szCs w:val="18"/>
              </w:rPr>
            </w:pPr>
          </w:p>
        </w:tc>
        <w:tc>
          <w:tcPr>
            <w:tcW w:w="756" w:type="dxa"/>
            <w:vMerge w:val="continue"/>
            <w:tcBorders>
              <w:top w:val="nil"/>
              <w:left w:val="nil"/>
              <w:bottom w:val="nil"/>
              <w:right w:val="nil"/>
            </w:tcBorders>
            <w:vAlign w:val="center"/>
          </w:tcPr>
          <w:p>
            <w:pPr>
              <w:rPr>
                <w:rFonts w:ascii="宋体" w:hAnsi="宋体" w:eastAsia="宋体" w:cs="宋体"/>
                <w:sz w:val="18"/>
                <w:szCs w:val="18"/>
              </w:rPr>
            </w:pPr>
          </w:p>
        </w:tc>
        <w:tc>
          <w:tcPr>
            <w:tcW w:w="1613" w:type="dxa"/>
            <w:vMerge w:val="continue"/>
            <w:tcBorders>
              <w:top w:val="nil"/>
              <w:left w:val="nil"/>
              <w:bottom w:val="nil"/>
              <w:right w:val="nil"/>
            </w:tcBorders>
            <w:vAlign w:val="center"/>
          </w:tcPr>
          <w:p>
            <w:pPr>
              <w:rPr>
                <w:rFonts w:ascii="宋体" w:hAnsi="宋体" w:eastAsia="宋体" w:cs="宋体"/>
                <w:sz w:val="18"/>
                <w:szCs w:val="18"/>
              </w:rPr>
            </w:pPr>
          </w:p>
        </w:tc>
        <w:tc>
          <w:tcPr>
            <w:tcW w:w="174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120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936"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continue"/>
            <w:tcBorders>
              <w:top w:val="nil"/>
              <w:left w:val="nil"/>
              <w:bottom w:val="nil"/>
              <w:right w:val="nil"/>
            </w:tcBorders>
            <w:vAlign w:val="center"/>
          </w:tcPr>
          <w:p>
            <w:pPr>
              <w:rPr>
                <w:rFonts w:ascii="宋体" w:hAnsi="宋体" w:eastAsia="宋体" w:cs="宋体"/>
                <w:sz w:val="18"/>
                <w:szCs w:val="18"/>
              </w:rPr>
            </w:pPr>
          </w:p>
        </w:tc>
        <w:tc>
          <w:tcPr>
            <w:tcW w:w="66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vMerge w:val="continue"/>
            <w:tcBorders>
              <w:top w:val="nil"/>
              <w:left w:val="nil"/>
              <w:bottom w:val="nil"/>
              <w:right w:val="nil"/>
            </w:tcBorders>
            <w:vAlign w:val="center"/>
          </w:tcPr>
          <w:p>
            <w:pPr>
              <w:rPr>
                <w:rFonts w:ascii="宋体" w:hAnsi="宋体" w:eastAsia="宋体" w:cs="宋体"/>
                <w:sz w:val="18"/>
                <w:szCs w:val="18"/>
              </w:rPr>
            </w:pP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小计</w:t>
            </w:r>
          </w:p>
        </w:tc>
        <w:tc>
          <w:tcPr>
            <w:tcW w:w="66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事业费限额</w:t>
            </w: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非限额补助</w:t>
            </w:r>
          </w:p>
        </w:tc>
        <w:tc>
          <w:tcPr>
            <w:tcW w:w="66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行政事业性收费</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专项收入</w:t>
            </w:r>
          </w:p>
        </w:tc>
        <w:tc>
          <w:tcPr>
            <w:tcW w:w="66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国有资源（资产）有偿使用收入</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政府住房基金收入</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上级财政通知提前转移支付</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其他</w:t>
            </w:r>
          </w:p>
        </w:tc>
        <w:tc>
          <w:tcPr>
            <w:tcW w:w="576" w:type="dxa"/>
            <w:vMerge w:val="continue"/>
            <w:tcBorders>
              <w:top w:val="nil"/>
              <w:left w:val="nil"/>
              <w:bottom w:val="nil"/>
              <w:right w:val="nil"/>
            </w:tcBorders>
            <w:vAlign w:val="center"/>
          </w:tcPr>
          <w:p>
            <w:pPr>
              <w:rPr>
                <w:rFonts w:ascii="宋体" w:hAnsi="宋体" w:eastAsia="宋体" w:cs="宋体"/>
                <w:sz w:val="18"/>
                <w:szCs w:val="18"/>
              </w:rPr>
            </w:pPr>
          </w:p>
        </w:tc>
        <w:tc>
          <w:tcPr>
            <w:tcW w:w="576" w:type="dxa"/>
            <w:vMerge w:val="continue"/>
            <w:tcBorders>
              <w:top w:val="nil"/>
              <w:left w:val="nil"/>
              <w:bottom w:val="nil"/>
              <w:right w:val="nil"/>
            </w:tcBorders>
            <w:vAlign w:val="center"/>
          </w:tcPr>
          <w:p>
            <w:pPr>
              <w:rPr>
                <w:rFonts w:ascii="宋体" w:hAnsi="宋体" w:eastAsia="宋体" w:cs="宋体"/>
                <w:sz w:val="18"/>
                <w:szCs w:val="18"/>
              </w:rPr>
            </w:pPr>
          </w:p>
        </w:tc>
        <w:tc>
          <w:tcPr>
            <w:tcW w:w="576" w:type="dxa"/>
            <w:vMerge w:val="continue"/>
            <w:tcBorders>
              <w:top w:val="nil"/>
              <w:left w:val="nil"/>
              <w:bottom w:val="nil"/>
              <w:right w:val="nil"/>
            </w:tcBorders>
            <w:vAlign w:val="center"/>
          </w:tcPr>
          <w:p>
            <w:pPr>
              <w:rPr>
                <w:rFonts w:ascii="宋体" w:hAnsi="宋体" w:eastAsia="宋体" w:cs="宋体"/>
                <w:sz w:val="18"/>
                <w:szCs w:val="18"/>
              </w:rPr>
            </w:pPr>
          </w:p>
        </w:tc>
        <w:tc>
          <w:tcPr>
            <w:tcW w:w="576" w:type="dxa"/>
            <w:vMerge w:val="continue"/>
            <w:tcBorders>
              <w:top w:val="nil"/>
              <w:left w:val="nil"/>
              <w:bottom w:val="nil"/>
              <w:right w:val="nil"/>
            </w:tcBorders>
            <w:vAlign w:val="center"/>
          </w:tcPr>
          <w:p>
            <w:pPr>
              <w:rPr>
                <w:rFonts w:ascii="宋体" w:hAnsi="宋体" w:eastAsia="宋体" w:cs="宋体"/>
                <w:sz w:val="18"/>
                <w:szCs w:val="18"/>
              </w:rPr>
            </w:pPr>
          </w:p>
        </w:tc>
        <w:tc>
          <w:tcPr>
            <w:tcW w:w="882" w:type="dxa"/>
            <w:vMerge w:val="continue"/>
            <w:tcBorders>
              <w:top w:val="nil"/>
              <w:left w:val="nil"/>
              <w:bottom w:val="nil"/>
              <w:right w:val="nil"/>
            </w:tcBorders>
            <w:vAlign w:val="center"/>
          </w:tcPr>
          <w:p>
            <w:pPr>
              <w:rPr>
                <w:rFonts w:ascii="宋体" w:hAnsi="宋体" w:eastAsia="宋体" w:cs="宋体"/>
                <w:sz w:val="18"/>
                <w:szCs w:val="18"/>
              </w:rPr>
            </w:pPr>
          </w:p>
        </w:tc>
        <w:tc>
          <w:tcPr>
            <w:tcW w:w="396" w:type="dxa"/>
            <w:vMerge w:val="continue"/>
            <w:tcBorders>
              <w:top w:val="nil"/>
              <w:left w:val="nil"/>
              <w:bottom w:val="nil"/>
              <w:right w:val="nil"/>
            </w:tcBorders>
            <w:vAlign w:val="center"/>
          </w:tcPr>
          <w:p>
            <w:pP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栏次</w:t>
            </w:r>
          </w:p>
        </w:tc>
        <w:tc>
          <w:tcPr>
            <w:tcW w:w="75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1613"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17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39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39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120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7</w:t>
            </w:r>
          </w:p>
        </w:tc>
        <w:tc>
          <w:tcPr>
            <w:tcW w:w="39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8</w:t>
            </w:r>
          </w:p>
        </w:tc>
        <w:tc>
          <w:tcPr>
            <w:tcW w:w="39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9</w:t>
            </w:r>
          </w:p>
        </w:tc>
        <w:tc>
          <w:tcPr>
            <w:tcW w:w="93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10</w:t>
            </w:r>
          </w:p>
        </w:tc>
        <w:tc>
          <w:tcPr>
            <w:tcW w:w="39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11</w:t>
            </w: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66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13</w:t>
            </w: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66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17</w:t>
            </w:r>
          </w:p>
        </w:tc>
        <w:tc>
          <w:tcPr>
            <w:tcW w:w="84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66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20</w:t>
            </w:r>
          </w:p>
        </w:tc>
        <w:tc>
          <w:tcPr>
            <w:tcW w:w="66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21</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22</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23</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24</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25</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26</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27</w:t>
            </w:r>
          </w:p>
        </w:tc>
        <w:tc>
          <w:tcPr>
            <w:tcW w:w="57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28</w:t>
            </w:r>
          </w:p>
        </w:tc>
        <w:tc>
          <w:tcPr>
            <w:tcW w:w="882"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29</w:t>
            </w:r>
          </w:p>
        </w:tc>
        <w:tc>
          <w:tcPr>
            <w:tcW w:w="396" w:type="dxa"/>
            <w:tcBorders>
              <w:top w:val="nil"/>
              <w:left w:val="nil"/>
              <w:bottom w:val="nil"/>
              <w:right w:val="nil"/>
            </w:tcBorders>
            <w:shd w:val="clear" w:color="000000" w:fill="E4ECF7"/>
            <w:vAlign w:val="center"/>
          </w:tcPr>
          <w:p>
            <w:pPr>
              <w:jc w:val="center"/>
              <w:rPr>
                <w:rFonts w:ascii="宋体" w:hAnsi="宋体" w:eastAsia="宋体" w:cs="宋体"/>
                <w:sz w:val="18"/>
                <w:szCs w:val="18"/>
              </w:rPr>
            </w:pPr>
            <w:r>
              <w:rPr>
                <w:rFonts w:hint="eastAsia" w:ascii="宋体" w:hAnsi="宋体" w:eastAsia="宋体" w:cs="宋体"/>
                <w:sz w:val="18"/>
                <w:szCs w:val="18"/>
              </w:rPr>
              <w:t>30</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总计</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4599.44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4599.44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4599.44</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16.74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4513.42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58.00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11.28</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161</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承德市双桥区人民法院</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161002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承德市双桥区人民法院</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办案业务装备费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161-0601-JQN-UGTS</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2040501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[A020102]计算机网络设备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批</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批</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中共承德市双桥区委组织部</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203002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中共承德市双桥区委组织部</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12.43</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“不忘初心、牢记使命”主题教育</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203-0401-YBN-3BG4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2013202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省外</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1.71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1.71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1.71</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1.71</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203-0401-YBN-S4UG</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省外</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206</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中共承德市双桥区委政法委员会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206002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中共承德市双桥区委政法委员会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1641.07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综治维稳国安工作项目</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206-0401-JSN-BNQS</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2013602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3.17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3.17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3.17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3.17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法治乡村建设</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206-0508-JBN-HEB5</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2013602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[A020102]计算机网络设备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套</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政法网接入网建设管理</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206-0703-JZN-CPAG</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2013602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[A020102]计算机网络设备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套</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1296.50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1296.50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1296.50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1296.50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1296.50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综治中心建设管理</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206-0808-JCN-VQDK</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2013602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[A020808]视频会议系统设备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套</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6.80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241.40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241.40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241.40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241.40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211</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中共承德市双桥区委宣传部</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211002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中共承德市双桥区委宣传部</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211-0401-JBN-LFPL</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222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中国共产党承德市双桥区纪律检查委员会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222002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中国共产党承德市双桥区纪律检查委员会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2011101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0.30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287</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中共承德市双桥区委老干部局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29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287002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中共承德市双桥区委老干部局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287-0501-JBN-KM95</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个</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6.40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承德市双桥区发展改革局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303002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承德市双桥区发展改革局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2010401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309</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承德市双桥区人民政府信访局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309002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承德市双桥区人民政府信访局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44.04</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群众工作中心日常运行</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309-0201-JXN-YQ0E</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2010308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千张</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3.48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3.48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3.48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3.48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双桥区群众工作中心改建项目</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309-0201-YXN-10Y0</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2010308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[B07]装修工程</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工程</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平米</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[节能产品][环保产品][中小企业]</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信访视频系统项目</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309-0201-YXN-4BV0</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2010308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[A020808]视频会议系统设备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套</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39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310</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承德市双桥区信息网络管理中心</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310002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承德市双桥区信息网络管理中心</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电子网络运行维护</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310-0401-JBN-EBF4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2150507</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0.12</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2.07</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承德市公安局双桥分局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312002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承德市公安局双桥分局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2040201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led显示屏</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把</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0.02</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56.56</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316</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承德市殡葬管理处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316002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承德市殡葬管理处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356.38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2081004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[A02030722]殡仪车</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工程</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辆</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购置骨灰架</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316-0704-YQN-497G</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2081004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[A0329]殡葬设备及用品</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个</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49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祭祀炉</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316-0704-YQN-G86C</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2081004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[A0329]殡葬设备及用品</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拣灰炉维修</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316-0704-YQN-I031</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2081004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[B08]修缮工程</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工程</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焚烧炉及配套尾气净化处理设备、火化炉尾气净化设备基础工程</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316-0704-YXN-KLVF</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2081004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[A0329]殡葬设备及用品</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工程</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平米</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44.18</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44.18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44.18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44.18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44.18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火化炉尾气净化设备，焚烧炉及配套尾气净化设备</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316-0704-YXN-W2WF</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2081004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[A0329]殡葬设备及用品</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148.20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148.20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148.20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148.20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148.20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323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承德市双桥区人力资源和社会保障局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323002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承德市双桥区人力资源和社会保障局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2011001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328</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承德市双桥区农业局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328002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承德市双桥区农业局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2130104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辆</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0.40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26.00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59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333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承德市双桥区住房和城乡建设局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333002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承德市双桥区住房和城乡建设局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2120102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0.40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承德市双桥区卫生和计划生育局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362002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承德市双桥区卫生和计划生育局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2100101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[A020204]多功能一体机</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2100101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362003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承德市双桥区疾病预防控制中心</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2100401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2100401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69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362004</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承德市双桥区卫生监督所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2100402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承德市双桥区人民政府头道牌楼街道办事处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5.80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5.80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5.80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5.80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363002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承德市双桥区人民政府头道牌楼街道办事处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363003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居委会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2080208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0.35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364</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承德市双桥区人民政府西大街街道办事处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364002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承德市双桥区人民政府西大街街道办事处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0.31</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79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364003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居委会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2080208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365</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承德市双桥区人民政府新华路街道办事处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365002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承德市双桥区人民政府新华路街道办事处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专项公用经费项目</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365-0402-JBN-0XA0</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2120102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DCP-7080</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4.78</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366</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承德市双桥区人民政府潘家沟街道办事处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8.00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366002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承德市双桥区人民政府潘家沟街道办事处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惠普</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366003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居委会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2080208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惠普</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0.11</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7.50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89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368</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承德市双桥区人民政府中华路街道办事处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368002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承德市双桥区人民政府中华路街道办事处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中华路街道办事处非税收入专项公用经费项目</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368-0401-JBN-F8MG</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2120102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6.50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369</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承德市双桥区人民政府石洞子沟街道办事处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16.74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16.74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16.74</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16.74</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369002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承德市双桥区人民政府石洞子沟街道办事处</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369003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居委会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2080208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5</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16.02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373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承德市双桥区水泉沟镇人民政府</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373002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承德市双桥区水泉沟镇人民政府</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99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2010301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[A02010601]打印设备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3.00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否</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374</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承德市双桥区双峰寺镇人民政府</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10.10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374002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承德市双桥区双峰寺镇人民政府</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2010301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0.30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9.20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374003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居委会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2080208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[A020205]照相机及器材</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0.40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0.90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415</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承德市双桥区市场监督管理局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415002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承德市双桥区市场监督管理局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市场监管罚没返还经费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415-0401-JBN-MCDF</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2013804</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办公桌椅</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个</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0.07</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18.00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426</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承德市双桥区安全生产监督管理局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109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426002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承德市双桥区安全生产监督管理局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（1）办公费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2240101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[A02010601]打印设备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0.25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467</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承德市双桥区环境卫生管理局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467002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承德市双桥区环境卫生管理局</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2305.30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2120501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0.30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1.50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467-0501-YBN-8C93</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[C]服务</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服务</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2216.70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2216.70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2216.70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2216.70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2216.70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环卫设施（洒水车）</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467-0604-YBN-WWK7</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2120501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[A02030727]清洁卫生车辆</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44.60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44.60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44.60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44.60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44.60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116</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467-1001-YBN-FN4Y</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[A070301]被服</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42.50</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42.50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42.50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42.50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42.50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[其他]</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117</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712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中国共产主义青年团承德市双桥区委员会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118</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712002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中国共产主义青年团承德市双桥区委员会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119</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青年中心专项活动项目</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712-0501-JBN-YSZI</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2012902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[A02010601]打印设备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AF-SDX18</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部</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0.18</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0.72</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120</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713</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承德市双桥区妇女联合会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121</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713002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承德市双桥区妇女联合会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122</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妇女儿童专项工作经费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713-0601-JBN-RR1M</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2012902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项目支出</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海尔03GFC12</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2.10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[环保产品]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123</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762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承德市双桥区残疾人联合会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124</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762002</w:t>
            </w: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承德市双桥区残疾人联合会</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r>
        <w:tblPrEx>
          <w:tblLayout w:type="fixed"/>
          <w:tblCellMar>
            <w:top w:w="0" w:type="dxa"/>
            <w:left w:w="108" w:type="dxa"/>
            <w:bottom w:w="0" w:type="dxa"/>
            <w:right w:w="108" w:type="dxa"/>
          </w:tblCellMar>
        </w:tblPrEx>
        <w:trPr>
          <w:trHeight w:val="300" w:hRule="atLeast"/>
        </w:trPr>
        <w:tc>
          <w:tcPr>
            <w:tcW w:w="48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125</w:t>
            </w:r>
          </w:p>
        </w:tc>
        <w:tc>
          <w:tcPr>
            <w:tcW w:w="75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1613"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（10）办公设备购置费</w:t>
            </w:r>
          </w:p>
        </w:tc>
        <w:tc>
          <w:tcPr>
            <w:tcW w:w="17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14</w:t>
            </w:r>
          </w:p>
        </w:tc>
        <w:tc>
          <w:tcPr>
            <w:tcW w:w="84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2081101</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日常公用</w:t>
            </w:r>
          </w:p>
        </w:tc>
        <w:tc>
          <w:tcPr>
            <w:tcW w:w="120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[A020101]计算机设备</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货物</w:t>
            </w: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省内</w:t>
            </w:r>
          </w:p>
        </w:tc>
        <w:tc>
          <w:tcPr>
            <w:tcW w:w="936" w:type="dxa"/>
            <w:tcBorders>
              <w:top w:val="nil"/>
              <w:left w:val="nil"/>
              <w:bottom w:val="nil"/>
              <w:right w:val="nil"/>
            </w:tcBorders>
            <w:shd w:val="clear" w:color="auto" w:fill="auto"/>
            <w:vAlign w:val="center"/>
          </w:tcPr>
          <w:p>
            <w:pPr>
              <w:rPr>
                <w:rFonts w:ascii="宋体" w:hAnsi="宋体" w:eastAsia="宋体" w:cs="宋体"/>
                <w:sz w:val="18"/>
                <w:szCs w:val="18"/>
              </w:rPr>
            </w:pPr>
          </w:p>
        </w:tc>
        <w:tc>
          <w:tcPr>
            <w:tcW w:w="39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台</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0.15</w:t>
            </w:r>
          </w:p>
        </w:tc>
        <w:tc>
          <w:tcPr>
            <w:tcW w:w="666"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1</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4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0.65</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66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576" w:type="dxa"/>
            <w:tcBorders>
              <w:top w:val="nil"/>
              <w:left w:val="nil"/>
              <w:bottom w:val="nil"/>
              <w:right w:val="nil"/>
            </w:tcBorders>
            <w:shd w:val="clear" w:color="auto" w:fill="auto"/>
            <w:vAlign w:val="center"/>
          </w:tcPr>
          <w:p>
            <w:pPr>
              <w:jc w:val="right"/>
              <w:rPr>
                <w:rFonts w:ascii="宋体" w:hAnsi="宋体" w:eastAsia="宋体" w:cs="宋体"/>
                <w:sz w:val="18"/>
                <w:szCs w:val="18"/>
              </w:rPr>
            </w:pPr>
            <w:r>
              <w:rPr>
                <w:rFonts w:hint="eastAsia" w:ascii="宋体" w:hAnsi="宋体" w:eastAsia="宋体" w:cs="宋体"/>
                <w:sz w:val="18"/>
                <w:szCs w:val="18"/>
              </w:rPr>
              <w:t>0.00</w:t>
            </w:r>
          </w:p>
        </w:tc>
        <w:tc>
          <w:tcPr>
            <w:tcW w:w="882" w:type="dxa"/>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ascii="宋体" w:hAnsi="宋体" w:eastAsia="宋体" w:cs="宋体"/>
                <w:sz w:val="18"/>
                <w:szCs w:val="18"/>
              </w:rPr>
              <w:t>[节能产品]</w:t>
            </w:r>
          </w:p>
        </w:tc>
        <w:tc>
          <w:tcPr>
            <w:tcW w:w="396" w:type="dxa"/>
            <w:tcBorders>
              <w:top w:val="nil"/>
              <w:left w:val="nil"/>
              <w:bottom w:val="nil"/>
              <w:right w:val="nil"/>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r>
    </w:tbl>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汉仪大宋简">
    <w:altName w:val="微软雅黑"/>
    <w:panose1 w:val="00000000000000000000"/>
    <w:charset w:val="86"/>
    <w:family w:val="modern"/>
    <w:pitch w:val="default"/>
    <w:sig w:usb0="00000000" w:usb1="00000000" w:usb2="00000002" w:usb3="00000000" w:csb0="00040000" w:csb1="00000000"/>
  </w:font>
  <w:font w:name="汉仪中黑简">
    <w:altName w:val="微软雅黑"/>
    <w:panose1 w:val="00000000000000000000"/>
    <w:charset w:val="86"/>
    <w:family w:val="modern"/>
    <w:pitch w:val="default"/>
    <w:sig w:usb0="00000000" w:usb1="00000000" w:usb2="00000002"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sz w:val="24"/>
        <w:szCs w:val="24"/>
      </w:rPr>
      <w:fldChar w:fldCharType="begin"/>
    </w:r>
    <w:r>
      <w:rPr>
        <w:b/>
      </w:rPr>
      <w:instrText xml:space="preserve">PAGE</w:instrText>
    </w:r>
    <w:r>
      <w:rPr>
        <w:b/>
        <w:sz w:val="24"/>
        <w:szCs w:val="24"/>
      </w:rPr>
      <w:fldChar w:fldCharType="separate"/>
    </w:r>
    <w:r>
      <w:rPr>
        <w:b/>
      </w:rPr>
      <w:t>50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64</w:t>
    </w:r>
    <w:r>
      <w:rPr>
        <w:b/>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sz w:val="24"/>
        <w:szCs w:val="24"/>
      </w:rPr>
      <w:fldChar w:fldCharType="begin"/>
    </w:r>
    <w:r>
      <w:rPr>
        <w:b/>
      </w:rPr>
      <w:instrText xml:space="preserve">PAGE</w:instrText>
    </w:r>
    <w:r>
      <w:rPr>
        <w:b/>
        <w:sz w:val="24"/>
        <w:szCs w:val="24"/>
      </w:rPr>
      <w:fldChar w:fldCharType="separate"/>
    </w:r>
    <w:r>
      <w:rPr>
        <w:b/>
      </w:rPr>
      <w:t>64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64</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AD5"/>
    <w:multiLevelType w:val="multilevel"/>
    <w:tmpl w:val="268A3AD5"/>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ADFDE6C"/>
    <w:multiLevelType w:val="singleLevel"/>
    <w:tmpl w:val="5ADFDE6C"/>
    <w:lvl w:ilvl="0" w:tentative="0">
      <w:start w:val="6"/>
      <w:numFmt w:val="decimal"/>
      <w:suff w:val="nothing"/>
      <w:lvlText w:val="%1、"/>
      <w:lvlJc w:val="left"/>
    </w:lvl>
  </w:abstractNum>
  <w:abstractNum w:abstractNumId="2">
    <w:nsid w:val="7B4018DD"/>
    <w:multiLevelType w:val="multilevel"/>
    <w:tmpl w:val="7B4018DD"/>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3E24CC"/>
    <w:rsid w:val="00013A0E"/>
    <w:rsid w:val="00076C11"/>
    <w:rsid w:val="00082751"/>
    <w:rsid w:val="001A0F1A"/>
    <w:rsid w:val="001B709F"/>
    <w:rsid w:val="001F23F3"/>
    <w:rsid w:val="002902BB"/>
    <w:rsid w:val="003C35AC"/>
    <w:rsid w:val="003C69E6"/>
    <w:rsid w:val="00407A26"/>
    <w:rsid w:val="0049485A"/>
    <w:rsid w:val="005073F1"/>
    <w:rsid w:val="005A4DE7"/>
    <w:rsid w:val="00794391"/>
    <w:rsid w:val="007B20B1"/>
    <w:rsid w:val="00822A5B"/>
    <w:rsid w:val="008509E6"/>
    <w:rsid w:val="00851466"/>
    <w:rsid w:val="008F29AF"/>
    <w:rsid w:val="009208BB"/>
    <w:rsid w:val="009B1212"/>
    <w:rsid w:val="00B26CAF"/>
    <w:rsid w:val="00B4789E"/>
    <w:rsid w:val="00B8790A"/>
    <w:rsid w:val="00C50D0E"/>
    <w:rsid w:val="00D4250E"/>
    <w:rsid w:val="00D97270"/>
    <w:rsid w:val="07CC74AF"/>
    <w:rsid w:val="0AC27852"/>
    <w:rsid w:val="0CC51A59"/>
    <w:rsid w:val="231C6D80"/>
    <w:rsid w:val="33FD2740"/>
    <w:rsid w:val="388725E0"/>
    <w:rsid w:val="403E24CC"/>
    <w:rsid w:val="4C726E1D"/>
    <w:rsid w:val="531F7908"/>
    <w:rsid w:val="56EA0561"/>
    <w:rsid w:val="6BCF717B"/>
    <w:rsid w:val="6E433D3C"/>
    <w:rsid w:val="75887A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7"/>
    <w:uiPriority w:val="0"/>
    <w:pPr>
      <w:widowControl w:val="0"/>
      <w:shd w:val="clear" w:color="auto" w:fill="000080"/>
      <w:jc w:val="both"/>
    </w:pPr>
    <w:rPr>
      <w:rFonts w:ascii="Times New Roman" w:hAnsi="Times New Roman" w:eastAsia="宋体" w:cs="Times New Roman"/>
      <w:kern w:val="2"/>
      <w:szCs w:val="24"/>
    </w:rPr>
  </w:style>
  <w:style w:type="paragraph" w:styleId="3">
    <w:name w:val="Date"/>
    <w:basedOn w:val="1"/>
    <w:next w:val="1"/>
    <w:link w:val="13"/>
    <w:qFormat/>
    <w:uiPriority w:val="0"/>
    <w:pPr>
      <w:widowControl w:val="0"/>
      <w:ind w:left="100" w:leftChars="2500"/>
      <w:jc w:val="both"/>
    </w:pPr>
    <w:rPr>
      <w:rFonts w:ascii="Times New Roman" w:hAnsi="Times New Roman" w:eastAsia="宋体" w:cs="Times New Roman"/>
      <w:kern w:val="2"/>
      <w:szCs w:val="24"/>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ascii="宋体" w:hAnsi="宋体" w:eastAsia="宋体" w:cs="宋体"/>
      <w:sz w:val="24"/>
      <w:szCs w:val="24"/>
    </w:rPr>
  </w:style>
  <w:style w:type="character" w:styleId="8">
    <w:name w:val="FollowedHyperlink"/>
    <w:basedOn w:val="7"/>
    <w:unhideWhenUsed/>
    <w:uiPriority w:val="99"/>
    <w:rPr>
      <w:color w:val="800080"/>
      <w:u w:val="single"/>
    </w:rPr>
  </w:style>
  <w:style w:type="character" w:styleId="9">
    <w:name w:val="Hyperlink"/>
    <w:basedOn w:val="7"/>
    <w:unhideWhenUsed/>
    <w:uiPriority w:val="99"/>
    <w:rPr>
      <w:color w:val="0000FF"/>
      <w:u w:val="single"/>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91"/>
    <w:basedOn w:val="7"/>
    <w:uiPriority w:val="0"/>
    <w:rPr>
      <w:spacing w:val="384"/>
      <w:sz w:val="18"/>
      <w:szCs w:val="18"/>
      <w:u w:val="none"/>
    </w:rPr>
  </w:style>
  <w:style w:type="character" w:customStyle="1" w:styleId="13">
    <w:name w:val="日期 Char"/>
    <w:basedOn w:val="7"/>
    <w:link w:val="3"/>
    <w:uiPriority w:val="0"/>
    <w:rPr>
      <w:kern w:val="2"/>
      <w:sz w:val="21"/>
      <w:szCs w:val="24"/>
    </w:rPr>
  </w:style>
  <w:style w:type="paragraph" w:customStyle="1" w:styleId="14">
    <w:name w:val="Char"/>
    <w:basedOn w:val="1"/>
    <w:uiPriority w:val="0"/>
    <w:pPr>
      <w:widowControl w:val="0"/>
      <w:jc w:val="both"/>
    </w:pPr>
    <w:rPr>
      <w:rFonts w:ascii="Times New Roman" w:hAnsi="Times New Roman" w:eastAsia="宋体" w:cs="Times New Roman"/>
      <w:kern w:val="2"/>
      <w:szCs w:val="21"/>
    </w:rPr>
  </w:style>
  <w:style w:type="character" w:customStyle="1" w:styleId="15">
    <w:name w:val="页眉 Char"/>
    <w:basedOn w:val="7"/>
    <w:link w:val="5"/>
    <w:uiPriority w:val="0"/>
    <w:rPr>
      <w:rFonts w:asciiTheme="minorHAnsi" w:hAnsiTheme="minorHAnsi" w:eastAsiaTheme="minorEastAsia" w:cstheme="minorBidi"/>
      <w:sz w:val="18"/>
      <w:szCs w:val="18"/>
    </w:rPr>
  </w:style>
  <w:style w:type="character" w:customStyle="1" w:styleId="16">
    <w:name w:val="页脚 Char"/>
    <w:basedOn w:val="7"/>
    <w:link w:val="4"/>
    <w:uiPriority w:val="99"/>
    <w:rPr>
      <w:rFonts w:asciiTheme="minorHAnsi" w:hAnsiTheme="minorHAnsi" w:eastAsiaTheme="minorEastAsia" w:cstheme="minorBidi"/>
      <w:sz w:val="18"/>
      <w:szCs w:val="18"/>
    </w:rPr>
  </w:style>
  <w:style w:type="character" w:customStyle="1" w:styleId="17">
    <w:name w:val="文档结构图 Char"/>
    <w:basedOn w:val="7"/>
    <w:link w:val="2"/>
    <w:uiPriority w:val="0"/>
    <w:rPr>
      <w:kern w:val="2"/>
      <w:sz w:val="21"/>
      <w:szCs w:val="24"/>
      <w:shd w:val="clear" w:color="auto" w:fill="000080"/>
    </w:rPr>
  </w:style>
  <w:style w:type="paragraph" w:customStyle="1" w:styleId="18">
    <w:name w:val="xl63"/>
    <w:basedOn w:val="1"/>
    <w:uiPriority w:val="0"/>
    <w:pPr>
      <w:spacing w:before="100" w:beforeAutospacing="1" w:after="100" w:afterAutospacing="1"/>
      <w:jc w:val="center"/>
      <w:textAlignment w:val="center"/>
    </w:pPr>
    <w:rPr>
      <w:rFonts w:ascii="宋体" w:hAnsi="宋体" w:eastAsia="宋体" w:cs="宋体"/>
      <w:sz w:val="24"/>
      <w:szCs w:val="24"/>
    </w:rPr>
  </w:style>
  <w:style w:type="paragraph" w:customStyle="1" w:styleId="19">
    <w:name w:val="xl64"/>
    <w:basedOn w:val="1"/>
    <w:uiPriority w:val="0"/>
    <w:pPr>
      <w:spacing w:before="100" w:beforeAutospacing="1" w:after="100" w:afterAutospacing="1"/>
      <w:textAlignment w:val="center"/>
    </w:pPr>
    <w:rPr>
      <w:rFonts w:ascii="宋体" w:hAnsi="宋体" w:eastAsia="宋体" w:cs="宋体"/>
      <w:sz w:val="24"/>
      <w:szCs w:val="24"/>
    </w:rPr>
  </w:style>
  <w:style w:type="paragraph" w:customStyle="1" w:styleId="20">
    <w:name w:val="xl65"/>
    <w:basedOn w:val="1"/>
    <w:qFormat/>
    <w:uiPriority w:val="0"/>
    <w:pPr>
      <w:spacing w:before="100" w:beforeAutospacing="1" w:after="100" w:afterAutospacing="1"/>
      <w:jc w:val="right"/>
      <w:textAlignment w:val="center"/>
    </w:pPr>
    <w:rPr>
      <w:rFonts w:ascii="宋体" w:hAnsi="宋体" w:eastAsia="宋体" w:cs="宋体"/>
      <w:sz w:val="24"/>
      <w:szCs w:val="24"/>
    </w:rPr>
  </w:style>
  <w:style w:type="paragraph" w:customStyle="1" w:styleId="21">
    <w:name w:val="xl66"/>
    <w:basedOn w:val="1"/>
    <w:qFormat/>
    <w:uiPriority w:val="0"/>
    <w:pPr>
      <w:spacing w:before="100" w:beforeAutospacing="1" w:after="100" w:afterAutospacing="1"/>
      <w:jc w:val="right"/>
      <w:textAlignment w:val="center"/>
    </w:pPr>
    <w:rPr>
      <w:rFonts w:ascii="宋体" w:hAnsi="宋体" w:eastAsia="宋体" w:cs="宋体"/>
      <w:sz w:val="24"/>
      <w:szCs w:val="24"/>
    </w:rPr>
  </w:style>
  <w:style w:type="paragraph" w:customStyle="1" w:styleId="22">
    <w:name w:val="xl67"/>
    <w:basedOn w:val="1"/>
    <w:uiPriority w:val="0"/>
    <w:pPr>
      <w:spacing w:before="100" w:beforeAutospacing="1" w:after="100" w:afterAutospacing="1"/>
      <w:jc w:val="center"/>
      <w:textAlignment w:val="center"/>
    </w:pPr>
    <w:rPr>
      <w:rFonts w:ascii="宋体" w:hAnsi="宋体" w:eastAsia="宋体" w:cs="宋体"/>
      <w:sz w:val="24"/>
      <w:szCs w:val="24"/>
    </w:rPr>
  </w:style>
  <w:style w:type="paragraph" w:customStyle="1" w:styleId="23">
    <w:name w:val="xl68"/>
    <w:basedOn w:val="1"/>
    <w:qFormat/>
    <w:uiPriority w:val="0"/>
    <w:pPr>
      <w:shd w:val="clear" w:color="000000" w:fill="E4ECF7"/>
      <w:spacing w:before="100" w:beforeAutospacing="1" w:after="100" w:afterAutospacing="1"/>
      <w:jc w:val="center"/>
      <w:textAlignment w:val="center"/>
    </w:pPr>
    <w:rPr>
      <w:rFonts w:ascii="宋体" w:hAnsi="宋体" w:eastAsia="宋体" w:cs="宋体"/>
      <w:sz w:val="24"/>
      <w:szCs w:val="24"/>
    </w:rPr>
  </w:style>
  <w:style w:type="paragraph" w:customStyle="1" w:styleId="24">
    <w:name w:val="xl69"/>
    <w:basedOn w:val="1"/>
    <w:qFormat/>
    <w:uiPriority w:val="0"/>
    <w:pPr>
      <w:shd w:val="clear" w:color="000000" w:fill="E4ECF7"/>
      <w:spacing w:before="100" w:beforeAutospacing="1" w:after="100" w:afterAutospacing="1"/>
      <w:jc w:val="center"/>
      <w:textAlignment w:val="center"/>
    </w:pPr>
    <w:rPr>
      <w:rFonts w:ascii="宋体" w:hAnsi="宋体" w:eastAsia="宋体" w:cs="宋体"/>
      <w:sz w:val="24"/>
      <w:szCs w:val="24"/>
    </w:rPr>
  </w:style>
  <w:style w:type="paragraph" w:customStyle="1" w:styleId="25">
    <w:name w:val="xl70"/>
    <w:basedOn w:val="1"/>
    <w:qFormat/>
    <w:uiPriority w:val="0"/>
    <w:pPr>
      <w:shd w:val="clear" w:color="000000" w:fill="E4ECF7"/>
      <w:spacing w:before="100" w:beforeAutospacing="1" w:after="100" w:afterAutospacing="1"/>
      <w:jc w:val="right"/>
      <w:textAlignment w:val="center"/>
    </w:pPr>
    <w:rPr>
      <w:rFonts w:ascii="宋体" w:hAnsi="宋体" w:eastAsia="宋体" w:cs="宋体"/>
      <w:sz w:val="24"/>
      <w:szCs w:val="24"/>
    </w:rPr>
  </w:style>
  <w:style w:type="paragraph" w:customStyle="1" w:styleId="26">
    <w:name w:val="xl71"/>
    <w:basedOn w:val="1"/>
    <w:qFormat/>
    <w:uiPriority w:val="0"/>
    <w:pPr>
      <w:shd w:val="clear" w:color="000000" w:fill="E4ECF7"/>
      <w:spacing w:before="100" w:beforeAutospacing="1" w:after="100" w:afterAutospacing="1"/>
      <w:jc w:val="center"/>
      <w:textAlignment w:val="center"/>
    </w:pPr>
    <w:rPr>
      <w:rFonts w:ascii="宋体" w:hAnsi="宋体" w:eastAsia="宋体" w:cs="宋体"/>
      <w:b/>
      <w:bCs/>
      <w:sz w:val="44"/>
      <w:szCs w:val="44"/>
    </w:rPr>
  </w:style>
  <w:style w:type="paragraph" w:customStyle="1" w:styleId="27">
    <w:name w:val="xl72"/>
    <w:basedOn w:val="1"/>
    <w:uiPriority w:val="0"/>
    <w:pPr>
      <w:shd w:val="clear" w:color="000000" w:fill="E4ECF7"/>
      <w:spacing w:before="100" w:beforeAutospacing="1" w:after="100" w:afterAutospacing="1"/>
      <w:jc w:val="both"/>
      <w:textAlignment w:val="center"/>
    </w:pPr>
    <w:rPr>
      <w:rFonts w:ascii="宋体" w:hAnsi="宋体" w:eastAsia="宋体" w:cs="宋体"/>
      <w:sz w:val="24"/>
      <w:szCs w:val="24"/>
    </w:rPr>
  </w:style>
  <w:style w:type="paragraph" w:customStyle="1" w:styleId="28">
    <w:name w:val="xl73"/>
    <w:basedOn w:val="1"/>
    <w:qFormat/>
    <w:uiPriority w:val="0"/>
    <w:pPr>
      <w:shd w:val="clear" w:color="000000" w:fill="E4ECF7"/>
      <w:spacing w:before="100" w:beforeAutospacing="1" w:after="100" w:afterAutospacing="1"/>
      <w:textAlignment w:val="center"/>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23028</Words>
  <Characters>18458</Characters>
  <Lines>153</Lines>
  <Paragraphs>82</Paragraphs>
  <TotalTime>142</TotalTime>
  <ScaleCrop>false</ScaleCrop>
  <LinksUpToDate>false</LinksUpToDate>
  <CharactersWithSpaces>41404</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2018-04-25T01:24:00Z</dcterms:created>
  <dc:creator>明媚</dc:creator>
  <cp:lastModifiedBy>Administrator</cp:lastModifiedBy>
  <dcterms:modified xsi:type="dcterms:W3CDTF">2019-02-15T07:09:43Z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